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ED866" w14:textId="77777777" w:rsidR="005C0B24" w:rsidRDefault="00000000">
      <w:pPr>
        <w:spacing w:after="100"/>
        <w:jc w:val="center"/>
      </w:pPr>
      <w:r>
        <w:t>FOCUS UNIVERSITY INSTITUTE</w:t>
      </w:r>
    </w:p>
    <w:p w14:paraId="4ED0A83B" w14:textId="77777777" w:rsidR="005C0B24" w:rsidRDefault="00000000">
      <w:pPr>
        <w:spacing w:after="200"/>
        <w:jc w:val="center"/>
      </w:pPr>
      <w:r>
        <w:rPr>
          <w:color w:val="666666"/>
          <w:sz w:val="24"/>
          <w:szCs w:val="24"/>
        </w:rPr>
        <w:t>Madrid, Spain</w:t>
      </w:r>
    </w:p>
    <w:p w14:paraId="35D2BDD8" w14:textId="77777777" w:rsidR="005C0B24" w:rsidRDefault="00000000">
      <w:pPr>
        <w:pBdr>
          <w:bottom w:val="single" w:sz="12" w:space="0" w:color="1F4E79"/>
        </w:pBdr>
        <w:spacing w:after="80"/>
        <w:jc w:val="center"/>
      </w:pPr>
      <w:r>
        <w:t>INTERNATIONAL FINANCE AND DEVELOPMENT BANKING</w:t>
      </w:r>
    </w:p>
    <w:p w14:paraId="70C9DC36" w14:textId="77777777" w:rsidR="005C0B24" w:rsidRDefault="00000000">
      <w:pPr>
        <w:spacing w:before="150" w:after="300"/>
        <w:jc w:val="center"/>
      </w:pPr>
      <w:r>
        <w:t>Program Developer: Luis Fernando (Lou) Villalba, PhD., EdD.</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18"/>
        <w:gridCol w:w="6006"/>
      </w:tblGrid>
      <w:tr w:rsidR="005C0B24" w14:paraId="4A01CC19"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0B11EE2B" w14:textId="77777777" w:rsidR="005C0B24" w:rsidRDefault="00000000">
            <w:r>
              <w:rPr>
                <w:b/>
                <w:bCs/>
                <w:sz w:val="20"/>
                <w:szCs w:val="20"/>
              </w:rPr>
              <w:t>Course Code:</w:t>
            </w:r>
          </w:p>
        </w:tc>
        <w:tc>
          <w:tcPr>
            <w:tcW w:w="6240" w:type="dxa"/>
            <w:tcBorders>
              <w:top w:val="single" w:sz="1" w:space="0" w:color="999999"/>
              <w:left w:val="single" w:sz="1" w:space="0" w:color="999999"/>
              <w:bottom w:val="single" w:sz="1" w:space="0" w:color="999999"/>
              <w:right w:val="single" w:sz="1" w:space="0" w:color="999999"/>
            </w:tcBorders>
          </w:tcPr>
          <w:p w14:paraId="49EAA67C" w14:textId="77777777" w:rsidR="005C0B24" w:rsidRDefault="00000000">
            <w:r>
              <w:rPr>
                <w:sz w:val="20"/>
                <w:szCs w:val="20"/>
              </w:rPr>
              <w:t>MBA-FIN 610 (Provisional)</w:t>
            </w:r>
          </w:p>
        </w:tc>
      </w:tr>
      <w:tr w:rsidR="005C0B24" w14:paraId="1463DD33"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41FFA7E2" w14:textId="77777777" w:rsidR="005C0B24" w:rsidRDefault="00000000">
            <w:r>
              <w:rPr>
                <w:b/>
                <w:bCs/>
                <w:sz w:val="20"/>
                <w:szCs w:val="20"/>
              </w:rPr>
              <w:t>Credits:</w:t>
            </w:r>
          </w:p>
        </w:tc>
        <w:tc>
          <w:tcPr>
            <w:tcW w:w="6240" w:type="dxa"/>
            <w:tcBorders>
              <w:top w:val="single" w:sz="1" w:space="0" w:color="999999"/>
              <w:left w:val="single" w:sz="1" w:space="0" w:color="999999"/>
              <w:bottom w:val="single" w:sz="1" w:space="0" w:color="999999"/>
              <w:right w:val="single" w:sz="1" w:space="0" w:color="999999"/>
            </w:tcBorders>
          </w:tcPr>
          <w:p w14:paraId="07D869EA" w14:textId="77777777" w:rsidR="005C0B24" w:rsidRDefault="00000000">
            <w:r>
              <w:rPr>
                <w:sz w:val="20"/>
                <w:szCs w:val="20"/>
              </w:rPr>
              <w:t>3 North American Graduate Credits / Proposed 6 ECTS</w:t>
            </w:r>
          </w:p>
        </w:tc>
      </w:tr>
      <w:tr w:rsidR="005C0B24" w14:paraId="6EDA49C4"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5629A0ED" w14:textId="77777777" w:rsidR="005C0B24" w:rsidRDefault="00000000">
            <w:r>
              <w:rPr>
                <w:b/>
                <w:bCs/>
                <w:sz w:val="20"/>
                <w:szCs w:val="20"/>
              </w:rPr>
              <w:t>Academic Level:</w:t>
            </w:r>
          </w:p>
        </w:tc>
        <w:tc>
          <w:tcPr>
            <w:tcW w:w="6240" w:type="dxa"/>
            <w:tcBorders>
              <w:top w:val="single" w:sz="1" w:space="0" w:color="999999"/>
              <w:left w:val="single" w:sz="1" w:space="0" w:color="999999"/>
              <w:bottom w:val="single" w:sz="1" w:space="0" w:color="999999"/>
              <w:right w:val="single" w:sz="1" w:space="0" w:color="999999"/>
            </w:tcBorders>
          </w:tcPr>
          <w:p w14:paraId="160F952B" w14:textId="77777777" w:rsidR="005C0B24" w:rsidRDefault="00000000">
            <w:r>
              <w:rPr>
                <w:sz w:val="20"/>
                <w:szCs w:val="20"/>
              </w:rPr>
              <w:t>Graduate (Master's / MBA)</w:t>
            </w:r>
          </w:p>
        </w:tc>
      </w:tr>
      <w:tr w:rsidR="005C0B24" w14:paraId="1B6D5BE6"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474CD86B" w14:textId="77777777" w:rsidR="005C0B24" w:rsidRDefault="00000000">
            <w:r>
              <w:rPr>
                <w:b/>
                <w:bCs/>
                <w:sz w:val="20"/>
                <w:szCs w:val="20"/>
              </w:rPr>
              <w:t>Duration:</w:t>
            </w:r>
          </w:p>
        </w:tc>
        <w:tc>
          <w:tcPr>
            <w:tcW w:w="6240" w:type="dxa"/>
            <w:tcBorders>
              <w:top w:val="single" w:sz="1" w:space="0" w:color="999999"/>
              <w:left w:val="single" w:sz="1" w:space="0" w:color="999999"/>
              <w:bottom w:val="single" w:sz="1" w:space="0" w:color="999999"/>
              <w:right w:val="single" w:sz="1" w:space="0" w:color="999999"/>
            </w:tcBorders>
          </w:tcPr>
          <w:p w14:paraId="6A175038" w14:textId="77777777" w:rsidR="005C0B24" w:rsidRDefault="00000000">
            <w:r>
              <w:rPr>
                <w:sz w:val="20"/>
                <w:szCs w:val="20"/>
              </w:rPr>
              <w:t>14 Weeks</w:t>
            </w:r>
          </w:p>
        </w:tc>
      </w:tr>
      <w:tr w:rsidR="005C0B24" w14:paraId="44AECFA0"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4D6B3B14" w14:textId="77777777" w:rsidR="005C0B24" w:rsidRDefault="00000000">
            <w:r>
              <w:rPr>
                <w:b/>
                <w:bCs/>
                <w:sz w:val="20"/>
                <w:szCs w:val="20"/>
              </w:rPr>
              <w:t>Student Workload:</w:t>
            </w:r>
          </w:p>
        </w:tc>
        <w:tc>
          <w:tcPr>
            <w:tcW w:w="6240" w:type="dxa"/>
            <w:tcBorders>
              <w:top w:val="single" w:sz="1" w:space="0" w:color="999999"/>
              <w:left w:val="single" w:sz="1" w:space="0" w:color="999999"/>
              <w:bottom w:val="single" w:sz="1" w:space="0" w:color="999999"/>
              <w:right w:val="single" w:sz="1" w:space="0" w:color="999999"/>
            </w:tcBorders>
          </w:tcPr>
          <w:p w14:paraId="25C654C5" w14:textId="77777777" w:rsidR="005C0B24" w:rsidRDefault="00000000">
            <w:r>
              <w:rPr>
                <w:sz w:val="20"/>
                <w:szCs w:val="20"/>
              </w:rPr>
              <w:t>Approximately 150 Hours (42 Guided + 108 Independent)</w:t>
            </w:r>
          </w:p>
        </w:tc>
      </w:tr>
      <w:tr w:rsidR="005C0B24" w14:paraId="3746371A"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01600099" w14:textId="77777777" w:rsidR="005C0B24" w:rsidRDefault="00000000">
            <w:r>
              <w:rPr>
                <w:b/>
                <w:bCs/>
                <w:sz w:val="20"/>
                <w:szCs w:val="20"/>
              </w:rPr>
              <w:t>Delivery Mode:</w:t>
            </w:r>
          </w:p>
        </w:tc>
        <w:tc>
          <w:tcPr>
            <w:tcW w:w="6240" w:type="dxa"/>
            <w:tcBorders>
              <w:top w:val="single" w:sz="1" w:space="0" w:color="999999"/>
              <w:left w:val="single" w:sz="1" w:space="0" w:color="999999"/>
              <w:bottom w:val="single" w:sz="1" w:space="0" w:color="999999"/>
              <w:right w:val="single" w:sz="1" w:space="0" w:color="999999"/>
            </w:tcBorders>
          </w:tcPr>
          <w:p w14:paraId="5B03AE65" w14:textId="77777777" w:rsidR="005C0B24" w:rsidRDefault="00000000">
            <w:r>
              <w:rPr>
                <w:sz w:val="20"/>
                <w:szCs w:val="20"/>
              </w:rPr>
              <w:t>Madrid-Based, Online, or Blended</w:t>
            </w:r>
          </w:p>
        </w:tc>
      </w:tr>
      <w:tr w:rsidR="005C0B24" w14:paraId="7962DDE5"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1BBCC0A8" w14:textId="77777777" w:rsidR="005C0B24" w:rsidRDefault="00000000">
            <w:r>
              <w:rPr>
                <w:b/>
                <w:bCs/>
                <w:sz w:val="20"/>
                <w:szCs w:val="20"/>
              </w:rPr>
              <w:t>Program/Stage:</w:t>
            </w:r>
          </w:p>
        </w:tc>
        <w:tc>
          <w:tcPr>
            <w:tcW w:w="6240" w:type="dxa"/>
            <w:tcBorders>
              <w:top w:val="single" w:sz="1" w:space="0" w:color="999999"/>
              <w:left w:val="single" w:sz="1" w:space="0" w:color="999999"/>
              <w:bottom w:val="single" w:sz="1" w:space="0" w:color="999999"/>
              <w:right w:val="single" w:sz="1" w:space="0" w:color="999999"/>
            </w:tcBorders>
          </w:tcPr>
          <w:p w14:paraId="3337A933" w14:textId="77777777" w:rsidR="005C0B24" w:rsidRDefault="00000000">
            <w:r>
              <w:t>Master of Business Administration in Finance / Finance Course 10</w:t>
            </w:r>
          </w:p>
        </w:tc>
      </w:tr>
      <w:tr w:rsidR="005C0B24" w14:paraId="54771D81"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60E78842" w14:textId="77777777" w:rsidR="005C0B24" w:rsidRDefault="00000000">
            <w:r>
              <w:rPr>
                <w:b/>
                <w:bCs/>
                <w:sz w:val="20"/>
                <w:szCs w:val="20"/>
              </w:rPr>
              <w:t>Professor:</w:t>
            </w:r>
          </w:p>
        </w:tc>
        <w:tc>
          <w:tcPr>
            <w:tcW w:w="6240" w:type="dxa"/>
            <w:tcBorders>
              <w:top w:val="single" w:sz="1" w:space="0" w:color="999999"/>
              <w:left w:val="single" w:sz="1" w:space="0" w:color="999999"/>
              <w:bottom w:val="single" w:sz="1" w:space="0" w:color="999999"/>
              <w:right w:val="single" w:sz="1" w:space="0" w:color="999999"/>
            </w:tcBorders>
          </w:tcPr>
          <w:p w14:paraId="2D6345BD" w14:textId="77777777" w:rsidR="005C0B24" w:rsidRDefault="00000000">
            <w:r>
              <w:rPr>
                <w:sz w:val="20"/>
                <w:szCs w:val="20"/>
              </w:rPr>
              <w:t>____________________</w:t>
            </w:r>
          </w:p>
        </w:tc>
      </w:tr>
      <w:tr w:rsidR="005C0B24" w14:paraId="54C3A8AB"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78B3C064" w14:textId="77777777" w:rsidR="005C0B24" w:rsidRDefault="00000000">
            <w:r>
              <w:rPr>
                <w:b/>
                <w:bCs/>
                <w:sz w:val="20"/>
                <w:szCs w:val="20"/>
              </w:rPr>
              <w:t>Office Hours:</w:t>
            </w:r>
          </w:p>
        </w:tc>
        <w:tc>
          <w:tcPr>
            <w:tcW w:w="6240" w:type="dxa"/>
            <w:tcBorders>
              <w:top w:val="single" w:sz="1" w:space="0" w:color="999999"/>
              <w:left w:val="single" w:sz="1" w:space="0" w:color="999999"/>
              <w:bottom w:val="single" w:sz="1" w:space="0" w:color="999999"/>
              <w:right w:val="single" w:sz="1" w:space="0" w:color="999999"/>
            </w:tcBorders>
          </w:tcPr>
          <w:p w14:paraId="22E8B710" w14:textId="77777777" w:rsidR="005C0B24" w:rsidRDefault="00000000">
            <w:r>
              <w:rPr>
                <w:sz w:val="20"/>
                <w:szCs w:val="20"/>
              </w:rPr>
              <w:t>[To be determined]</w:t>
            </w:r>
          </w:p>
        </w:tc>
      </w:tr>
      <w:tr w:rsidR="005C0B24" w14:paraId="7BEC2845"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712A8960" w14:textId="77777777" w:rsidR="005C0B24" w:rsidRDefault="00000000">
            <w:r>
              <w:rPr>
                <w:b/>
                <w:bCs/>
                <w:sz w:val="20"/>
                <w:szCs w:val="20"/>
              </w:rPr>
              <w:t>Contact:</w:t>
            </w:r>
          </w:p>
        </w:tc>
        <w:tc>
          <w:tcPr>
            <w:tcW w:w="6240" w:type="dxa"/>
            <w:tcBorders>
              <w:top w:val="single" w:sz="1" w:space="0" w:color="999999"/>
              <w:left w:val="single" w:sz="1" w:space="0" w:color="999999"/>
              <w:bottom w:val="single" w:sz="1" w:space="0" w:color="999999"/>
              <w:right w:val="single" w:sz="1" w:space="0" w:color="999999"/>
            </w:tcBorders>
          </w:tcPr>
          <w:p w14:paraId="07E51F3D" w14:textId="77777777" w:rsidR="005C0B24" w:rsidRDefault="00000000">
            <w:r>
              <w:rPr>
                <w:sz w:val="20"/>
                <w:szCs w:val="20"/>
              </w:rPr>
              <w:t>[To be determined]</w:t>
            </w:r>
          </w:p>
        </w:tc>
      </w:tr>
    </w:tbl>
    <w:p w14:paraId="2DD1D95A" w14:textId="77777777" w:rsidR="005C0B24" w:rsidRDefault="005C0B24"/>
    <w:p w14:paraId="668C15F4" w14:textId="77777777" w:rsidR="005C0B24" w:rsidRDefault="00000000">
      <w:pPr>
        <w:pStyle w:val="Heading1"/>
      </w:pPr>
      <w:r>
        <w:t>1. Course Description</w:t>
      </w:r>
    </w:p>
    <w:p w14:paraId="27331DB0" w14:textId="77777777" w:rsidR="005C0B24" w:rsidRDefault="00000000">
      <w:pPr>
        <w:spacing w:before="80" w:after="80"/>
      </w:pPr>
      <w:r>
        <w:t>This advanced MBA finance course examines international monetary arrangements, balance-of-payments adjustment, foreign-exchange markets, global capital flows, country and sovereign risk, multinational financial decisions, and the institutions that finance development. Students connect macrofinancial conditions to firm, investor, government, and development-bank decisions across advanced, emerging, frontier, and lower-income economies.</w:t>
      </w:r>
    </w:p>
    <w:p w14:paraId="6F06BFED" w14:textId="77777777" w:rsidR="005C0B24" w:rsidRDefault="00000000">
      <w:pPr>
        <w:spacing w:before="80" w:after="80"/>
      </w:pPr>
      <w:r>
        <w:t>Students apply exchange-rate and parity relationships, currency and interest-rate risk techniques, cross-border capital budgeting, international cost-of-capital analysis, global funding, trade finance, treasury management, and project-finance methods. They also examine the mandates, governance, financing instruments, operating cycles, financial models, and accountability systems of the World Bank Group—including IBRD, IDA, IFC, and MIGA—and selected regional and national development banks.</w:t>
      </w:r>
    </w:p>
    <w:p w14:paraId="70FDE2E0" w14:textId="77777777" w:rsidR="005C0B24" w:rsidRDefault="00000000">
      <w:pPr>
        <w:spacing w:before="80" w:after="80"/>
      </w:pPr>
      <w:r>
        <w:t>The course treats development additionality, mobilization, debt sustainability, environmental and social risk management, climate and nature considerations, inclusion, gender, just transition, procurement integrity, safeguards, results measurement, and public accountability as integral to sound finance. It culminates in an International Financing and Development Impact Strategy and remains distinct from Corporate Finance and Business Valuation, Financial Risk Management, and the later Applied Finance Capstone.</w:t>
      </w:r>
    </w:p>
    <w:p w14:paraId="56F5AE46" w14:textId="77777777" w:rsidR="005C0B24" w:rsidRDefault="005C0B24">
      <w:r>
        <w:t>Prerequisites: Successful completion of the six-course MBA common trunk or approved equivalent.</w:t>
      </w:r>
    </w:p>
    <w:p w14:paraId="2A2B99DC" w14:textId="77777777" w:rsidR="005C0B24" w:rsidRDefault="00000000">
      <w:pPr>
        <w:pStyle w:val="Heading1"/>
      </w:pPr>
      <w:r>
        <w:t>2. Course Learning Outcomes</w:t>
      </w:r>
    </w:p>
    <w:p w14:paraId="65BA4C02" w14:textId="77777777" w:rsidR="005C0B24" w:rsidRDefault="00000000">
      <w:pPr>
        <w:spacing w:before="80" w:after="80"/>
      </w:pPr>
      <w:r>
        <w:t>Upon successful completion of this course, students will be able to:</w:t>
      </w:r>
    </w:p>
    <w:p w14:paraId="3702E6AF" w14:textId="77777777" w:rsidR="005C0B24" w:rsidRDefault="005C0B24"/>
    <w:p w14:paraId="05588804" w14:textId="77777777" w:rsidR="005C0B24" w:rsidRDefault="00000000">
      <w:pPr>
        <w:pStyle w:val="ListParagraph"/>
        <w:numPr>
          <w:ilvl w:val="0"/>
          <w:numId w:val="2"/>
        </w:numPr>
        <w:spacing w:before="80" w:after="80"/>
      </w:pPr>
      <w:r>
        <w:rPr>
          <w:b/>
        </w:rPr>
        <w:t xml:space="preserve">Critically analyze </w:t>
      </w:r>
      <w:r>
        <w:t xml:space="preserve">the international monetary and financial system, balance-of-payments dynamics, exchange-rate regimes, global capital flows, external imbalances, and country and sovereign risk using current macrofinancial evidence. </w:t>
      </w:r>
      <w:r>
        <w:rPr>
          <w:color w:val="666666"/>
          <w:sz w:val="20"/>
        </w:rPr>
        <w:t>[Bloom's Level 5: Evaluate]</w:t>
      </w:r>
    </w:p>
    <w:p w14:paraId="3066BD06" w14:textId="77777777" w:rsidR="005C0B24" w:rsidRDefault="00000000">
      <w:pPr>
        <w:pStyle w:val="ListParagraph"/>
        <w:numPr>
          <w:ilvl w:val="0"/>
          <w:numId w:val="2"/>
        </w:numPr>
        <w:spacing w:before="80" w:after="80"/>
      </w:pPr>
      <w:r>
        <w:rPr>
          <w:b/>
        </w:rPr>
        <w:t xml:space="preserve">Apply and evaluate </w:t>
      </w:r>
      <w:r>
        <w:t xml:space="preserve">parity relationships, foreign-exchange valuation and hedging, cross-border capital budgeting, international cost-of-capital, treasury, trade-finance, and global funding techniques under uncertainty. </w:t>
      </w:r>
      <w:r>
        <w:rPr>
          <w:color w:val="666666"/>
          <w:sz w:val="20"/>
        </w:rPr>
        <w:t>[Bloom's Level 5: Evaluate]</w:t>
      </w:r>
    </w:p>
    <w:p w14:paraId="706E522A" w14:textId="77777777" w:rsidR="005C0B24" w:rsidRDefault="00000000">
      <w:pPr>
        <w:pStyle w:val="ListParagraph"/>
        <w:numPr>
          <w:ilvl w:val="0"/>
          <w:numId w:val="2"/>
        </w:numPr>
        <w:spacing w:before="80" w:after="80"/>
      </w:pPr>
      <w:r>
        <w:rPr>
          <w:b/>
        </w:rPr>
        <w:t xml:space="preserve">Evaluate </w:t>
      </w:r>
      <w:r>
        <w:t xml:space="preserve">the mandates, governance, instruments, financial models, project cycles, operational controls, additionality, mobilization, and results frameworks of IBRD, IDA, IFC, MIGA, and selected regional or national development banks. </w:t>
      </w:r>
      <w:r>
        <w:rPr>
          <w:color w:val="666666"/>
          <w:sz w:val="20"/>
        </w:rPr>
        <w:t>[Bloom's Level 5: Evaluate]</w:t>
      </w:r>
    </w:p>
    <w:p w14:paraId="5352FDEF" w14:textId="77777777" w:rsidR="005C0B24" w:rsidRDefault="00000000">
      <w:pPr>
        <w:pStyle w:val="ListParagraph"/>
        <w:numPr>
          <w:ilvl w:val="0"/>
          <w:numId w:val="2"/>
        </w:numPr>
        <w:spacing w:before="80" w:after="80"/>
      </w:pPr>
      <w:r>
        <w:rPr>
          <w:b/>
        </w:rPr>
        <w:t xml:space="preserve">Evaluate and integrate </w:t>
      </w:r>
      <w:r>
        <w:t xml:space="preserve">sustainability and development objectives into international financing decisions, including debt resilience, climate and nature, environmental and social safeguards, inclusion, gender, just transition, impact integrity, and distributional consequences. </w:t>
      </w:r>
      <w:r>
        <w:rPr>
          <w:color w:val="666666"/>
          <w:sz w:val="20"/>
        </w:rPr>
        <w:t>[Bloom's Level 5: Evaluate]</w:t>
      </w:r>
    </w:p>
    <w:p w14:paraId="31E48A39" w14:textId="77777777" w:rsidR="005C0B24" w:rsidRDefault="00000000">
      <w:pPr>
        <w:pStyle w:val="ListParagraph"/>
        <w:numPr>
          <w:ilvl w:val="0"/>
          <w:numId w:val="2"/>
        </w:numPr>
        <w:spacing w:before="80" w:after="80"/>
      </w:pPr>
      <w:r>
        <w:rPr>
          <w:b/>
        </w:rPr>
        <w:t xml:space="preserve">Develop and defend </w:t>
      </w:r>
      <w:r>
        <w:t xml:space="preserve">an international financing or development-bank operation integrating financial viability, currency and sovereign risk, development additionality, sustainable development, safeguards, governance, implementation, results measurement, and transparent professional judgment. </w:t>
      </w:r>
      <w:r>
        <w:rPr>
          <w:color w:val="666666"/>
          <w:sz w:val="20"/>
        </w:rPr>
        <w:t>[Bloom's Level 6: Create]</w:t>
      </w:r>
    </w:p>
    <w:p w14:paraId="708F745F" w14:textId="77777777" w:rsidR="005C0B24" w:rsidRDefault="005C0B24"/>
    <w:p w14:paraId="4A704225" w14:textId="77777777" w:rsidR="005C0B24" w:rsidRDefault="00000000">
      <w:pPr>
        <w:pStyle w:val="Heading1"/>
      </w:pPr>
      <w:r>
        <w:t>3. Required Materials</w:t>
      </w:r>
    </w:p>
    <w:p w14:paraId="4FA652FE" w14:textId="77777777" w:rsidR="005C0B24" w:rsidRDefault="00000000">
      <w:pPr>
        <w:pStyle w:val="Heading2"/>
      </w:pPr>
      <w:r>
        <w:t>3.1 Main Texts and Open Educational Resource (OER)</w:t>
      </w:r>
    </w:p>
    <w:p w14:paraId="3ACAB40A" w14:textId="77777777" w:rsidR="005C0B24" w:rsidRDefault="00000000">
      <w:pPr>
        <w:pStyle w:val="ListParagraph"/>
        <w:numPr>
          <w:ilvl w:val="0"/>
          <w:numId w:val="3"/>
        </w:numPr>
        <w:spacing w:before="80" w:after="80"/>
      </w:pPr>
      <w:r>
        <w:t>Main Text 1 (Paid): Eun, C. S., Resnick, B. G., &amp; Chuluun, T. (2024). International financial management (10th ed.). McGraw Hill. ISBN 9781266224058. https://www.mheducation.com/highered/product/international-financial-management-eun.html</w:t>
      </w:r>
    </w:p>
    <w:p w14:paraId="3ACAB40A" w14:textId="77777777" w:rsidR="005C0B24" w:rsidRDefault="00000000">
      <w:pPr>
        <w:pStyle w:val="ListParagraph"/>
        <w:numPr>
          <w:ilvl w:val="0"/>
          <w:numId w:val="3"/>
        </w:numPr>
        <w:spacing w:before="80" w:after="80"/>
      </w:pPr>
      <w:r>
        <w:t>Main Text 2 (OER): Suranovic, S. (2010). International finance: Theory and policy. Saylor Foundation/LibreTexts. Open-access text. https://biz.libretexts.org/Bookshelves/Finance/Book%3A_International_Finance__Theory_and_Policy</w:t>
      </w:r>
    </w:p>
    <w:p w14:paraId="0D69AE57" w14:textId="77777777" w:rsidR="005C0B24" w:rsidRDefault="005C0B24"/>
    <w:p w14:paraId="2A51F6C1" w14:textId="77777777" w:rsidR="005C0B24" w:rsidRDefault="00000000">
      <w:pPr>
        <w:pStyle w:val="Heading2"/>
      </w:pPr>
      <w:r>
        <w:t>3.2 Supplementary Texts (Non-Open Educational Resources)</w:t>
      </w:r>
    </w:p>
    <w:p w14:paraId="257417F7" w14:textId="77777777" w:rsidR="005C0B24" w:rsidRDefault="00000000">
      <w:pPr>
        <w:pStyle w:val="ListParagraph"/>
        <w:numPr>
          <w:ilvl w:val="0"/>
          <w:numId w:val="3"/>
        </w:numPr>
        <w:spacing w:before="80" w:after="80"/>
      </w:pPr>
      <w:r>
        <w:t>Yescombe, E. R., &amp; Farquharson, E. (2018). Public-private partnerships for infrastructure: Principles of policy and finance (2nd ed.). Butterworth-Heinemann. Paid text; selected chapters.</w:t>
      </w:r>
    </w:p>
    <w:p w14:paraId="71C82E00" w14:textId="77777777" w:rsidR="005C0B24" w:rsidRDefault="00000000">
      <w:pPr>
        <w:pStyle w:val="ListParagraph"/>
        <w:numPr>
          <w:ilvl w:val="0"/>
          <w:numId w:val="3"/>
        </w:numPr>
        <w:spacing w:before="80" w:after="80"/>
      </w:pPr>
      <w:r>
        <w:t>International Finance Corporation. (2012). Performance standards on environmental and social sustainability. Open institutional resource.</w:t>
      </w:r>
    </w:p>
    <w:p w14:paraId="2799BCF3" w14:textId="77777777" w:rsidR="005C0B24" w:rsidRDefault="00000000">
      <w:pPr>
        <w:pStyle w:val="ListParagraph"/>
        <w:numPr>
          <w:ilvl w:val="0"/>
          <w:numId w:val="3"/>
        </w:numPr>
        <w:spacing w:before="80" w:after="80"/>
      </w:pPr>
      <w:r>
        <w:t>Selected current peer-reviewed research on exchange rates, international capital flows, sovereign debt, multinational finance, development banking, project finance, blended finance, additionality, safeguards, and development impact.</w:t>
      </w:r>
    </w:p>
    <w:p w14:paraId="4FF26EFF" w14:textId="77777777" w:rsidR="005C0B24" w:rsidRDefault="00000000">
      <w:pPr>
        <w:pStyle w:val="ListParagraph"/>
        <w:numPr>
          <w:ilvl w:val="0"/>
          <w:numId w:val="3"/>
        </w:numPr>
        <w:spacing w:before="80" w:after="80"/>
      </w:pPr>
      <w:r>
        <w:t>Current official country, market, project, financial, environmental, social, procurement, and results evidence from approved multilateral, national, regulatory, and organizational sources.</w:t>
      </w:r>
    </w:p>
    <w:p w14:paraId="229919BC" w14:textId="77777777" w:rsidR="005C0B24" w:rsidRDefault="005C0B24"/>
    <w:p w14:paraId="667D06C1" w14:textId="77777777" w:rsidR="005C0B24" w:rsidRDefault="00000000">
      <w:pPr>
        <w:pStyle w:val="Heading2"/>
      </w:pPr>
      <w:r>
        <w:t>3.3 Open Educational Resources (OER)</w:t>
      </w:r>
    </w:p>
    <w:p w14:paraId="65790290" w14:textId="77777777" w:rsidR="005C0B24" w:rsidRDefault="00000000">
      <w:pPr>
        <w:pStyle w:val="ListParagraph"/>
        <w:numPr>
          <w:ilvl w:val="0"/>
          <w:numId w:val="3"/>
        </w:numPr>
        <w:spacing w:before="80" w:after="80"/>
      </w:pPr>
      <w:r>
        <w:t>Suranovic, International Finance: Theory and Policy (open access): https://biz.libretexts.org/Bookshelves/Finance/Book%3A_International_Finance__Theory_and_Policy</w:t>
      </w:r>
    </w:p>
    <w:p w14:paraId="6E643017" w14:textId="77777777" w:rsidR="005C0B24" w:rsidRDefault="00000000">
      <w:pPr>
        <w:pStyle w:val="ListParagraph"/>
        <w:numPr>
          <w:ilvl w:val="0"/>
          <w:numId w:val="3"/>
        </w:numPr>
        <w:spacing w:before="80" w:after="80"/>
      </w:pPr>
      <w:r>
        <w:t>OpenStax Principles of Finance (CC BY 4.0): https://openstax.org/details/books/principles-finance</w:t>
      </w:r>
    </w:p>
    <w:p w14:paraId="1495E422" w14:textId="77777777" w:rsidR="005C0B24" w:rsidRDefault="00000000">
      <w:pPr>
        <w:pStyle w:val="ListParagraph"/>
        <w:numPr>
          <w:ilvl w:val="0"/>
          <w:numId w:val="3"/>
        </w:numPr>
        <w:spacing w:before="80" w:after="80"/>
      </w:pPr>
      <w:r>
        <w:t>World Bank Project Cycle and Projects &amp; Operations resources: https://www.worldbank.org/en/projects-operations/products-and-services/brief/projectcycle and https://projects.worldbank.org/</w:t>
      </w:r>
    </w:p>
    <w:p w14:paraId="555DB6E7" w14:textId="77777777" w:rsidR="005C0B24" w:rsidRDefault="00000000">
      <w:pPr>
        <w:pStyle w:val="ListParagraph"/>
        <w:numPr>
          <w:ilvl w:val="0"/>
          <w:numId w:val="3"/>
        </w:numPr>
        <w:spacing w:before="80" w:after="80"/>
      </w:pPr>
      <w:r>
        <w:t>IFC Project Cycle, AIMM, and development-impact resources: https://www.ifc.org/en/what-we-do/products-and-services/ifc-project-cycle and https://www.ifc.org/en/our-impact/measuring-and-monitoring</w:t>
      </w:r>
    </w:p>
    <w:p w14:paraId="073EB1DC" w14:textId="77777777" w:rsidR="005C0B24" w:rsidRDefault="00000000">
      <w:pPr>
        <w:pStyle w:val="ListParagraph"/>
        <w:numPr>
          <w:ilvl w:val="0"/>
          <w:numId w:val="3"/>
        </w:numPr>
        <w:spacing w:before="80" w:after="80"/>
      </w:pPr>
      <w:r>
        <w:t>World Bank Open Data, World Development Indicators, and International Debt Statistics: https://data.worldbank.org/ and https://datatopics.worldbank.org/world-development-indicators/</w:t>
      </w:r>
    </w:p>
    <w:p w14:paraId="0B39F4A8" w14:textId="77777777" w:rsidR="005C0B24" w:rsidRDefault="00000000">
      <w:pPr>
        <w:pStyle w:val="ListParagraph"/>
        <w:numPr>
          <w:ilvl w:val="0"/>
          <w:numId w:val="3"/>
        </w:numPr>
        <w:spacing w:before="80" w:after="80"/>
      </w:pPr>
      <w:r>
        <w:t>IMF BPM7, Balance of Payments data, World Economic Outlook, and exchange-rate resources: https://www.imf.org/en/Publications/Manuals-Guides/Issues/2025/03/05/Integrated-Balance-of-Payments-and-International-Investment-Position-Manual-Seventh-Edition and https://data.imf.org/</w:t>
      </w:r>
    </w:p>
    <w:p w14:paraId="496B7931" w14:textId="77777777" w:rsidR="005C0B24" w:rsidRDefault="00000000">
      <w:pPr>
        <w:pStyle w:val="ListParagraph"/>
        <w:numPr>
          <w:ilvl w:val="0"/>
          <w:numId w:val="3"/>
        </w:numPr>
        <w:spacing w:before="80" w:after="80"/>
      </w:pPr>
      <w:r>
        <w:t>World Bank Environmental and Social Framework and IFC Performance Standards: https://www.worldbank.org/en/projects-operations/environmental-and-social-framework and https://www.ifc.org/en/insights-reports/2012/ifc-performance-standards</w:t>
      </w:r>
    </w:p>
    <w:p w14:paraId="3B15346D" w14:textId="77777777" w:rsidR="005C0B24" w:rsidRDefault="00000000">
      <w:pPr>
        <w:pStyle w:val="ListParagraph"/>
        <w:numPr>
          <w:ilvl w:val="0"/>
          <w:numId w:val="3"/>
        </w:numPr>
        <w:spacing w:before="80" w:after="80"/>
      </w:pPr>
      <w:r>
        <w:t>MIGA guarantees, ADB project-cycle, OECD blended-finance, and World Bank-IMF debt-sustainability resources: https://www.miga.org/all-guarantees; https://www.adb.org/what-we-do/public-sector-financing/project-cycle; https://www.oecd.org/en/publications/oecd-dac-blended-finance-principles_dc66bd9c-en.html; https://www.worldbank.org/en/programs/debt-toolkit/dsf</w:t>
      </w:r>
    </w:p>
    <w:p w14:paraId="37891B74" w14:textId="77777777" w:rsidR="005C0B24" w:rsidRDefault="005C0B24"/>
    <w:p w14:paraId="21EF1386" w14:textId="77777777" w:rsidR="005C0B24" w:rsidRDefault="00000000">
      <w:pPr>
        <w:pStyle w:val="Heading2"/>
      </w:pPr>
      <w:r>
        <w:t>3.4 Technology Requirements</w:t>
      </w:r>
    </w:p>
    <w:p w14:paraId="6BCCC21C" w14:textId="77777777" w:rsidR="005C0B24" w:rsidRDefault="00000000">
      <w:pPr>
        <w:pStyle w:val="ListParagraph"/>
        <w:numPr>
          <w:ilvl w:val="0"/>
          <w:numId w:val="3"/>
        </w:numPr>
        <w:spacing w:before="80" w:after="80"/>
      </w:pPr>
      <w:r>
        <w:t>Reliable internet connection and Learning Management System access</w:t>
      </w:r>
    </w:p>
    <w:p w14:paraId="293FA27C" w14:textId="77777777" w:rsidR="005C0B24" w:rsidRDefault="00000000">
      <w:pPr>
        <w:pStyle w:val="ListParagraph"/>
        <w:numPr>
          <w:ilvl w:val="0"/>
          <w:numId w:val="3"/>
        </w:numPr>
        <w:spacing w:before="80" w:after="80"/>
      </w:pPr>
      <w:r>
        <w:t>Spreadsheet, collaborative-document, presentation, financial-modelling, scenario-analysis, country-risk, project-appraisal, and data-visualization tools</w:t>
      </w:r>
    </w:p>
    <w:p w14:paraId="094941B2" w14:textId="77777777" w:rsidR="005C0B24" w:rsidRDefault="00000000">
      <w:pPr>
        <w:pStyle w:val="ListParagraph"/>
        <w:numPr>
          <w:ilvl w:val="0"/>
          <w:numId w:val="3"/>
        </w:numPr>
        <w:spacing w:before="80" w:after="80"/>
      </w:pPr>
      <w:r>
        <w:t>Instructor-approved IMF, World Bank, BIS, central-bank, exchange-rate, sovereign, trade, development-finance, and project databases; multiple commercial subscriptions are not required</w:t>
      </w:r>
    </w:p>
    <w:p w14:paraId="5A6A0A8D" w14:textId="77777777" w:rsidR="005C0B24" w:rsidRDefault="00000000">
      <w:pPr>
        <w:pStyle w:val="ListParagraph"/>
        <w:numPr>
          <w:ilvl w:val="0"/>
          <w:numId w:val="3"/>
        </w:numPr>
        <w:spacing w:before="80" w:after="80"/>
      </w:pPr>
      <w:r>
        <w:t>PDF annotation and video-conferencing capability for source review, treasury laboratories, development-bank simulations, investment-committee presentations, and the final oral defence</w:t>
      </w:r>
    </w:p>
    <w:p w14:paraId="3123A89A" w14:textId="77777777" w:rsidR="005C0B24" w:rsidRDefault="005C0B24"/>
    <w:p w14:paraId="4007EC92" w14:textId="77777777" w:rsidR="005C0B24" w:rsidRDefault="00000000">
      <w:pPr>
        <w:pStyle w:val="Heading1"/>
      </w:pPr>
      <w:r>
        <w:t>4. Assessment Structure</w:t>
      </w:r>
    </w:p>
    <w:p w14:paraId="0B0B619A" w14:textId="77777777" w:rsidR="005C0B24" w:rsidRDefault="00000000">
      <w:pPr>
        <w:spacing w:before="100" w:after="150"/>
      </w:pPr>
      <w:r>
        <w:t>The course combines International Finance and Development Banking Studios, a Country, Currency, and Capital-Flow Diagnostic, an independently completed midterm examination, a Development Finance Investment Appraisal Memorandum, and the Week 14 International Financing and Development Impact Strategy. The final project replaces a conventional final examination.</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56"/>
        <w:gridCol w:w="1755"/>
        <w:gridCol w:w="1355"/>
        <w:gridCol w:w="2558"/>
      </w:tblGrid>
      <w:tr w:rsidR="005C0B24" w14:paraId="1EC205E1" w14:textId="77777777">
        <w:tblPrEx>
          <w:tblCellMar>
            <w:top w:w="0" w:type="dxa"/>
            <w:bottom w:w="0" w:type="dxa"/>
          </w:tblCellMar>
        </w:tblPrEx>
        <w:trPr>
          <w:tblHeader w:val="true"/>
          <w:cantSplit w:val="true"/>
        </w:trPr>
        <w:tc>
          <w:tcPr>
            <w:tcW w:w="3500" w:type="dxa"/>
            <w:tcBorders>
              <w:top w:val="single" w:sz="1" w:space="0" w:color="999999"/>
              <w:left w:val="single" w:sz="1" w:space="0" w:color="999999"/>
              <w:bottom w:val="single" w:sz="1" w:space="0" w:color="999999"/>
              <w:right w:val="single" w:sz="1" w:space="0" w:color="999999"/>
            </w:tcBorders>
            <w:shd w:val="clear" w:color="auto" w:fill="1F4E79"/>
          </w:tcPr>
          <w:p w14:paraId="4EAC0C23" w14:textId="77777777" w:rsidR="005C0B24" w:rsidRDefault="00000000">
            <w:pPr>
              <w:jc w:val="center"/>
            </w:pPr>
            <w:r>
              <w:rPr>
                <w:b/>
                <w:bCs/>
                <w:color w:val="FFFFFF"/>
                <w:sz w:val="20"/>
                <w:szCs w:val="20"/>
              </w:rPr>
              <w:t>Assessment Component</w:t>
            </w:r>
          </w:p>
        </w:tc>
        <w:tc>
          <w:tcPr>
            <w:tcW w:w="1800" w:type="dxa"/>
            <w:tcBorders>
              <w:top w:val="single" w:sz="1" w:space="0" w:color="999999"/>
              <w:left w:val="single" w:sz="1" w:space="0" w:color="999999"/>
              <w:bottom w:val="single" w:sz="1" w:space="0" w:color="999999"/>
              <w:right w:val="single" w:sz="1" w:space="0" w:color="999999"/>
            </w:tcBorders>
            <w:shd w:val="clear" w:color="auto" w:fill="1F4E79"/>
          </w:tcPr>
          <w:p w14:paraId="395A8796" w14:textId="77777777" w:rsidR="005C0B24" w:rsidRDefault="00000000">
            <w:pPr>
              <w:jc w:val="center"/>
            </w:pPr>
            <w:r>
              <w:rPr>
                <w:b/>
                <w:bCs/>
                <w:color w:val="FFFFFF"/>
                <w:sz w:val="20"/>
                <w:szCs w:val="20"/>
              </w:rPr>
              <w:t>Type</w:t>
            </w:r>
          </w:p>
        </w:tc>
        <w:tc>
          <w:tcPr>
            <w:tcW w:w="1400" w:type="dxa"/>
            <w:tcBorders>
              <w:top w:val="single" w:sz="1" w:space="0" w:color="999999"/>
              <w:left w:val="single" w:sz="1" w:space="0" w:color="999999"/>
              <w:bottom w:val="single" w:sz="1" w:space="0" w:color="999999"/>
              <w:right w:val="single" w:sz="1" w:space="0" w:color="999999"/>
            </w:tcBorders>
            <w:shd w:val="clear" w:color="auto" w:fill="1F4E79"/>
          </w:tcPr>
          <w:p w14:paraId="61105C68" w14:textId="77777777" w:rsidR="005C0B24" w:rsidRDefault="00000000">
            <w:pPr>
              <w:jc w:val="center"/>
            </w:pPr>
            <w:r>
              <w:rPr>
                <w:b/>
                <w:bCs/>
                <w:color w:val="FFFFFF"/>
                <w:sz w:val="20"/>
                <w:szCs w:val="20"/>
              </w:rPr>
              <w:t>Weight</w:t>
            </w:r>
          </w:p>
        </w:tc>
        <w:tc>
          <w:tcPr>
            <w:tcW w:w="2660" w:type="dxa"/>
            <w:tcBorders>
              <w:top w:val="single" w:sz="1" w:space="0" w:color="999999"/>
              <w:left w:val="single" w:sz="1" w:space="0" w:color="999999"/>
              <w:bottom w:val="single" w:sz="1" w:space="0" w:color="999999"/>
              <w:right w:val="single" w:sz="1" w:space="0" w:color="999999"/>
            </w:tcBorders>
            <w:shd w:val="clear" w:color="auto" w:fill="1F4E79"/>
          </w:tcPr>
          <w:p w14:paraId="4BB5F698" w14:textId="77777777" w:rsidR="005C0B24" w:rsidRDefault="00000000">
            <w:pPr>
              <w:jc w:val="center"/>
            </w:pPr>
            <w:r>
              <w:rPr>
                <w:b/>
                <w:bCs/>
                <w:color w:val="FFFFFF"/>
                <w:sz w:val="20"/>
                <w:szCs w:val="20"/>
              </w:rPr>
              <w:t>Due Date</w:t>
            </w:r>
          </w:p>
        </w:tc>
      </w:tr>
      <w:tr w:rsidR="005C0B24" w14:paraId="35D2C240"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tcPr>
          <w:p w14:paraId="1468485B" w14:textId="77777777" w:rsidR="005C0B24" w:rsidRDefault="00000000">
            <w:r>
              <w:rPr>
                <w:sz w:val="20"/>
                <w:szCs w:val="20"/>
              </w:rPr>
              <w:t>International Finance &amp; Development Banking Studios</w:t>
            </w:r>
          </w:p>
        </w:tc>
        <w:tc>
          <w:tcPr>
            <w:tcW w:w="1800" w:type="dxa"/>
            <w:tcBorders>
              <w:top w:val="single" w:sz="1" w:space="0" w:color="999999"/>
              <w:left w:val="single" w:sz="1" w:space="0" w:color="999999"/>
              <w:bottom w:val="single" w:sz="1" w:space="0" w:color="999999"/>
              <w:right w:val="single" w:sz="1" w:space="0" w:color="999999"/>
            </w:tcBorders>
          </w:tcPr>
          <w:p w14:paraId="7FAC86B3" w14:textId="77777777" w:rsidR="005C0B24" w:rsidRDefault="00000000">
            <w:pPr>
              <w:jc w:val="center"/>
            </w:pPr>
            <w:r>
              <w:rPr>
                <w:sz w:val="20"/>
                <w:szCs w:val="20"/>
              </w:rPr>
              <w:t>Ongoing</w:t>
            </w:r>
          </w:p>
        </w:tc>
        <w:tc>
          <w:tcPr>
            <w:tcW w:w="1400" w:type="dxa"/>
            <w:tcBorders>
              <w:top w:val="single" w:sz="1" w:space="0" w:color="999999"/>
              <w:left w:val="single" w:sz="1" w:space="0" w:color="999999"/>
              <w:bottom w:val="single" w:sz="1" w:space="0" w:color="999999"/>
              <w:right w:val="single" w:sz="1" w:space="0" w:color="999999"/>
            </w:tcBorders>
          </w:tcPr>
          <w:p w14:paraId="18B87159" w14:textId="77777777" w:rsidR="005C0B24" w:rsidRDefault="00000000">
            <w:pPr>
              <w:jc w:val="center"/>
            </w:pPr>
            <w:r>
              <w:rPr>
                <w:sz w:val="20"/>
                <w:szCs w:val="20"/>
              </w:rPr>
              <w:t>10%</w:t>
            </w:r>
          </w:p>
        </w:tc>
        <w:tc>
          <w:tcPr>
            <w:tcW w:w="2660" w:type="dxa"/>
            <w:tcBorders>
              <w:top w:val="single" w:sz="1" w:space="0" w:color="999999"/>
              <w:left w:val="single" w:sz="1" w:space="0" w:color="999999"/>
              <w:bottom w:val="single" w:sz="1" w:space="0" w:color="999999"/>
              <w:right w:val="single" w:sz="1" w:space="0" w:color="999999"/>
            </w:tcBorders>
          </w:tcPr>
          <w:p w14:paraId="76E12198" w14:textId="77777777" w:rsidR="005C0B24" w:rsidRDefault="00000000">
            <w:pPr>
              <w:jc w:val="center"/>
            </w:pPr>
            <w:r>
              <w:rPr>
                <w:sz w:val="20"/>
                <w:szCs w:val="20"/>
              </w:rPr>
              <w:t>Continuous</w:t>
            </w:r>
          </w:p>
        </w:tc>
      </w:tr>
      <w:tr w:rsidR="005C0B24" w14:paraId="1D5C0B60"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shd w:val="clear" w:color="auto" w:fill="F2F2F2"/>
          </w:tcPr>
          <w:p w14:paraId="7172D8CE" w14:textId="77777777" w:rsidR="005C0B24" w:rsidRDefault="00000000">
            <w:r>
              <w:rPr>
                <w:sz w:val="20"/>
                <w:szCs w:val="20"/>
              </w:rPr>
              <w:t>Country, Currency &amp; Capital-Flow Diagnostic</w:t>
            </w:r>
          </w:p>
        </w:tc>
        <w:tc>
          <w:tcPr>
            <w:tcW w:w="1800" w:type="dxa"/>
            <w:tcBorders>
              <w:top w:val="single" w:sz="1" w:space="0" w:color="999999"/>
              <w:left w:val="single" w:sz="1" w:space="0" w:color="999999"/>
              <w:bottom w:val="single" w:sz="1" w:space="0" w:color="999999"/>
              <w:right w:val="single" w:sz="1" w:space="0" w:color="999999"/>
            </w:tcBorders>
            <w:shd w:val="clear" w:color="auto" w:fill="F2F2F2"/>
          </w:tcPr>
          <w:p w14:paraId="5DF44295" w14:textId="77777777" w:rsidR="005C0B24" w:rsidRDefault="00000000">
            <w:r>
              <w:rPr>
                <w:b/>
                <w:bCs/>
                <w:sz w:val="20"/>
                <w:szCs w:val="20"/>
              </w:rPr>
              <w:t>Formative</w:t>
            </w:r>
          </w:p>
        </w:tc>
        <w:tc>
          <w:tcPr>
            <w:tcW w:w="1400" w:type="dxa"/>
            <w:tcBorders>
              <w:top w:val="single" w:sz="1" w:space="0" w:color="999999"/>
              <w:left w:val="single" w:sz="1" w:space="0" w:color="999999"/>
              <w:bottom w:val="single" w:sz="1" w:space="0" w:color="999999"/>
              <w:right w:val="single" w:sz="1" w:space="0" w:color="999999"/>
            </w:tcBorders>
            <w:shd w:val="clear" w:color="auto" w:fill="F2F2F2"/>
          </w:tcPr>
          <w:p w14:paraId="7EAB2FC2" w14:textId="77777777" w:rsidR="005C0B24" w:rsidRDefault="00000000">
            <w:pPr>
              <w:jc w:val="center"/>
            </w:pPr>
            <w:r>
              <w:rPr>
                <w:sz w:val="20"/>
                <w:szCs w:val="20"/>
              </w:rPr>
              <w:t>15%</w:t>
            </w:r>
          </w:p>
        </w:tc>
        <w:tc>
          <w:tcPr>
            <w:tcW w:w="2660" w:type="dxa"/>
            <w:tcBorders>
              <w:top w:val="single" w:sz="1" w:space="0" w:color="999999"/>
              <w:left w:val="single" w:sz="1" w:space="0" w:color="999999"/>
              <w:bottom w:val="single" w:sz="1" w:space="0" w:color="999999"/>
              <w:right w:val="single" w:sz="1" w:space="0" w:color="999999"/>
            </w:tcBorders>
            <w:shd w:val="clear" w:color="auto" w:fill="F2F2F2"/>
          </w:tcPr>
          <w:p w14:paraId="08541952" w14:textId="77777777" w:rsidR="005C0B24" w:rsidRDefault="00000000">
            <w:pPr>
              <w:jc w:val="center"/>
            </w:pPr>
            <w:r>
              <w:rPr>
                <w:sz w:val="20"/>
                <w:szCs w:val="20"/>
              </w:rPr>
              <w:t>Week 4</w:t>
            </w:r>
          </w:p>
        </w:tc>
      </w:tr>
      <w:tr w:rsidR="005C0B24" w14:paraId="40C12C75"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tcPr>
          <w:p w14:paraId="6F2D1845" w14:textId="77777777" w:rsidR="005C0B24" w:rsidRDefault="00000000">
            <w:r>
              <w:rPr>
                <w:sz w:val="20"/>
                <w:szCs w:val="20"/>
              </w:rPr>
              <w:t>Midterm Examination</w:t>
            </w:r>
          </w:p>
        </w:tc>
        <w:tc>
          <w:tcPr>
            <w:tcW w:w="1800" w:type="dxa"/>
            <w:tcBorders>
              <w:top w:val="single" w:sz="1" w:space="0" w:color="999999"/>
              <w:left w:val="single" w:sz="1" w:space="0" w:color="999999"/>
              <w:bottom w:val="single" w:sz="1" w:space="0" w:color="999999"/>
              <w:right w:val="single" w:sz="1" w:space="0" w:color="999999"/>
            </w:tcBorders>
          </w:tcPr>
          <w:p w14:paraId="30090A53" w14:textId="77777777" w:rsidR="005C0B24" w:rsidRDefault="00000000">
            <w:r>
              <w:rPr>
                <w:b/>
                <w:bCs/>
                <w:sz w:val="20"/>
                <w:szCs w:val="20"/>
              </w:rPr>
              <w:t>Summative</w:t>
            </w:r>
          </w:p>
        </w:tc>
        <w:tc>
          <w:tcPr>
            <w:tcW w:w="1400" w:type="dxa"/>
            <w:tcBorders>
              <w:top w:val="single" w:sz="1" w:space="0" w:color="999999"/>
              <w:left w:val="single" w:sz="1" w:space="0" w:color="999999"/>
              <w:bottom w:val="single" w:sz="1" w:space="0" w:color="999999"/>
              <w:right w:val="single" w:sz="1" w:space="0" w:color="999999"/>
            </w:tcBorders>
          </w:tcPr>
          <w:p w14:paraId="65DDE459" w14:textId="77777777" w:rsidR="005C0B24" w:rsidRDefault="00000000">
            <w:pPr>
              <w:jc w:val="center"/>
            </w:pPr>
            <w:r>
              <w:rPr>
                <w:sz w:val="20"/>
                <w:szCs w:val="20"/>
              </w:rPr>
              <w:t>20%</w:t>
            </w:r>
          </w:p>
        </w:tc>
        <w:tc>
          <w:tcPr>
            <w:tcW w:w="2660" w:type="dxa"/>
            <w:tcBorders>
              <w:top w:val="single" w:sz="1" w:space="0" w:color="999999"/>
              <w:left w:val="single" w:sz="1" w:space="0" w:color="999999"/>
              <w:bottom w:val="single" w:sz="1" w:space="0" w:color="999999"/>
              <w:right w:val="single" w:sz="1" w:space="0" w:color="999999"/>
            </w:tcBorders>
          </w:tcPr>
          <w:p w14:paraId="0C8E0E24" w14:textId="77777777" w:rsidR="005C0B24" w:rsidRDefault="00000000">
            <w:pPr>
              <w:jc w:val="center"/>
            </w:pPr>
            <w:r>
              <w:rPr>
                <w:sz w:val="20"/>
                <w:szCs w:val="20"/>
              </w:rPr>
              <w:t>Week 7</w:t>
            </w:r>
          </w:p>
        </w:tc>
      </w:tr>
      <w:tr w:rsidR="005C0B24" w14:paraId="75B90515"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shd w:val="clear" w:color="auto" w:fill="F2F2F2"/>
          </w:tcPr>
          <w:p w14:paraId="4DD352E1" w14:textId="77777777" w:rsidR="005C0B24" w:rsidRDefault="00000000">
            <w:r>
              <w:rPr>
                <w:sz w:val="20"/>
                <w:szCs w:val="20"/>
              </w:rPr>
              <w:t>Development Finance Investment Appraisal Memorandum</w:t>
            </w:r>
          </w:p>
        </w:tc>
        <w:tc>
          <w:tcPr>
            <w:tcW w:w="1800" w:type="dxa"/>
            <w:tcBorders>
              <w:top w:val="single" w:sz="1" w:space="0" w:color="999999"/>
              <w:left w:val="single" w:sz="1" w:space="0" w:color="999999"/>
              <w:bottom w:val="single" w:sz="1" w:space="0" w:color="999999"/>
              <w:right w:val="single" w:sz="1" w:space="0" w:color="999999"/>
            </w:tcBorders>
            <w:shd w:val="clear" w:color="auto" w:fill="F2F2F2"/>
          </w:tcPr>
          <w:p w14:paraId="3F1F5B6E" w14:textId="77777777" w:rsidR="005C0B24" w:rsidRDefault="00000000">
            <w:r>
              <w:rPr>
                <w:b/>
                <w:bCs/>
                <w:sz w:val="20"/>
                <w:szCs w:val="20"/>
              </w:rPr>
              <w:t>Summative</w:t>
            </w:r>
          </w:p>
        </w:tc>
        <w:tc>
          <w:tcPr>
            <w:tcW w:w="1400" w:type="dxa"/>
            <w:tcBorders>
              <w:top w:val="single" w:sz="1" w:space="0" w:color="999999"/>
              <w:left w:val="single" w:sz="1" w:space="0" w:color="999999"/>
              <w:bottom w:val="single" w:sz="1" w:space="0" w:color="999999"/>
              <w:right w:val="single" w:sz="1" w:space="0" w:color="999999"/>
            </w:tcBorders>
            <w:shd w:val="clear" w:color="auto" w:fill="F2F2F2"/>
          </w:tcPr>
          <w:p w14:paraId="31034EB3" w14:textId="77777777" w:rsidR="005C0B24" w:rsidRDefault="00000000">
            <w:pPr>
              <w:jc w:val="center"/>
            </w:pPr>
            <w:r>
              <w:rPr>
                <w:sz w:val="20"/>
                <w:szCs w:val="20"/>
              </w:rPr>
              <w:t>15%</w:t>
            </w:r>
          </w:p>
        </w:tc>
        <w:tc>
          <w:tcPr>
            <w:tcW w:w="2660" w:type="dxa"/>
            <w:tcBorders>
              <w:top w:val="single" w:sz="1" w:space="0" w:color="999999"/>
              <w:left w:val="single" w:sz="1" w:space="0" w:color="999999"/>
              <w:bottom w:val="single" w:sz="1" w:space="0" w:color="999999"/>
              <w:right w:val="single" w:sz="1" w:space="0" w:color="999999"/>
            </w:tcBorders>
            <w:shd w:val="clear" w:color="auto" w:fill="F2F2F2"/>
          </w:tcPr>
          <w:p w14:paraId="66EEE44B" w14:textId="77777777" w:rsidR="005C0B24" w:rsidRDefault="00000000">
            <w:pPr>
              <w:jc w:val="center"/>
            </w:pPr>
            <w:r>
              <w:rPr>
                <w:sz w:val="20"/>
                <w:szCs w:val="20"/>
              </w:rPr>
              <w:t>Week 10</w:t>
            </w:r>
          </w:p>
        </w:tc>
      </w:tr>
      <w:tr w:rsidR="005C0B24" w14:paraId="2B0EC11C"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tcPr>
          <w:p w14:paraId="5604EFC9" w14:textId="77777777" w:rsidR="005C0B24" w:rsidRDefault="00000000">
            <w:r>
              <w:rPr>
                <w:sz w:val="20"/>
                <w:szCs w:val="20"/>
              </w:rPr>
              <w:t>International Financing &amp; Development Impact Strategy</w:t>
            </w:r>
          </w:p>
        </w:tc>
        <w:tc>
          <w:tcPr>
            <w:tcW w:w="1800" w:type="dxa"/>
            <w:tcBorders>
              <w:top w:val="single" w:sz="1" w:space="0" w:color="999999"/>
              <w:left w:val="single" w:sz="1" w:space="0" w:color="999999"/>
              <w:bottom w:val="single" w:sz="1" w:space="0" w:color="999999"/>
              <w:right w:val="single" w:sz="1" w:space="0" w:color="999999"/>
            </w:tcBorders>
          </w:tcPr>
          <w:p w14:paraId="166FE749" w14:textId="77777777" w:rsidR="005C0B24" w:rsidRDefault="00000000">
            <w:r>
              <w:rPr>
                <w:b/>
                <w:bCs/>
                <w:sz w:val="20"/>
                <w:szCs w:val="20"/>
              </w:rPr>
              <w:t>Summative</w:t>
            </w:r>
          </w:p>
        </w:tc>
        <w:tc>
          <w:tcPr>
            <w:tcW w:w="1400" w:type="dxa"/>
            <w:tcBorders>
              <w:top w:val="single" w:sz="1" w:space="0" w:color="999999"/>
              <w:left w:val="single" w:sz="1" w:space="0" w:color="999999"/>
              <w:bottom w:val="single" w:sz="1" w:space="0" w:color="999999"/>
              <w:right w:val="single" w:sz="1" w:space="0" w:color="999999"/>
            </w:tcBorders>
          </w:tcPr>
          <w:p w14:paraId="5E089942" w14:textId="77777777" w:rsidR="005C0B24" w:rsidRDefault="00000000">
            <w:pPr>
              <w:jc w:val="center"/>
            </w:pPr>
            <w:r>
              <w:rPr>
                <w:sz w:val="20"/>
                <w:szCs w:val="20"/>
              </w:rPr>
              <w:t>40%</w:t>
            </w:r>
          </w:p>
        </w:tc>
        <w:tc>
          <w:tcPr>
            <w:tcW w:w="2660" w:type="dxa"/>
            <w:tcBorders>
              <w:top w:val="single" w:sz="1" w:space="0" w:color="999999"/>
              <w:left w:val="single" w:sz="1" w:space="0" w:color="999999"/>
              <w:bottom w:val="single" w:sz="1" w:space="0" w:color="999999"/>
              <w:right w:val="single" w:sz="1" w:space="0" w:color="999999"/>
            </w:tcBorders>
          </w:tcPr>
          <w:p w14:paraId="0AEC6C98" w14:textId="77777777" w:rsidR="005C0B24" w:rsidRDefault="00000000">
            <w:pPr>
              <w:jc w:val="center"/>
            </w:pPr>
            <w:r>
              <w:rPr>
                <w:sz w:val="20"/>
                <w:szCs w:val="20"/>
              </w:rPr>
              <w:t>Week 14</w:t>
            </w:r>
          </w:p>
        </w:tc>
      </w:tr>
      <w:tr w:rsidR="005C0B24" w14:paraId="36A823CA"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shd w:val="clear" w:color="auto" w:fill="1F4E79"/>
          </w:tcPr>
          <w:p w14:paraId="70132A5B" w14:textId="77777777" w:rsidR="005C0B24" w:rsidRDefault="00000000">
            <w:r>
              <w:rPr>
                <w:b/>
                <w:bCs/>
                <w:sz w:val="20"/>
                <w:szCs w:val="20"/>
              </w:rPr>
              <w:t>TOTAL</w:t>
            </w:r>
          </w:p>
        </w:tc>
        <w:tc>
          <w:tcPr>
            <w:tcW w:w="1800" w:type="dxa"/>
            <w:tcBorders>
              <w:top w:val="single" w:sz="1" w:space="0" w:color="999999"/>
              <w:left w:val="single" w:sz="1" w:space="0" w:color="999999"/>
              <w:bottom w:val="single" w:sz="1" w:space="0" w:color="999999"/>
              <w:right w:val="single" w:sz="1" w:space="0" w:color="999999"/>
            </w:tcBorders>
            <w:shd w:val="clear" w:color="auto" w:fill="1F4E79"/>
          </w:tcPr>
          <w:p w14:paraId="2A4CE76F" w14:textId="77777777" w:rsidR="005C0B24" w:rsidRDefault="005C0B24">
            <w:r/>
          </w:p>
        </w:tc>
        <w:tc>
          <w:tcPr>
            <w:tcW w:w="1400" w:type="dxa"/>
            <w:tcBorders>
              <w:top w:val="single" w:sz="1" w:space="0" w:color="999999"/>
              <w:left w:val="single" w:sz="1" w:space="0" w:color="999999"/>
              <w:bottom w:val="single" w:sz="1" w:space="0" w:color="999999"/>
              <w:right w:val="single" w:sz="1" w:space="0" w:color="999999"/>
            </w:tcBorders>
            <w:shd w:val="clear" w:color="auto" w:fill="1F4E79"/>
          </w:tcPr>
          <w:p w14:paraId="63576942" w14:textId="77777777" w:rsidR="005C0B24" w:rsidRDefault="00000000">
            <w:pPr>
              <w:jc w:val="center"/>
            </w:pPr>
            <w:r>
              <w:rPr>
                <w:b/>
                <w:bCs/>
                <w:color w:val="FFFFFF"/>
                <w:sz w:val="20"/>
                <w:szCs w:val="20"/>
              </w:rPr>
              <w:t>100%</w:t>
            </w:r>
          </w:p>
        </w:tc>
        <w:tc>
          <w:tcPr>
            <w:tcW w:w="2660" w:type="dxa"/>
            <w:tcBorders>
              <w:top w:val="single" w:sz="1" w:space="0" w:color="999999"/>
              <w:left w:val="single" w:sz="1" w:space="0" w:color="999999"/>
              <w:bottom w:val="single" w:sz="1" w:space="0" w:color="999999"/>
              <w:right w:val="single" w:sz="1" w:space="0" w:color="999999"/>
            </w:tcBorders>
            <w:shd w:val="clear" w:color="auto" w:fill="1F4E79"/>
          </w:tcPr>
          <w:p w14:paraId="2B6E044F" w14:textId="77777777" w:rsidR="005C0B24" w:rsidRDefault="005C0B24">
            <w:r/>
          </w:p>
        </w:tc>
      </w:tr>
    </w:tbl>
    <w:p w14:paraId="6B71D518" w14:textId="77777777" w:rsidR="005C0B24" w:rsidRDefault="005C0B24"/>
    <w:p w14:paraId="0908FC53" w14:textId="77777777" w:rsidR="005C0B24" w:rsidRDefault="00000000">
      <w:pPr>
        <w:pStyle w:val="Heading1"/>
      </w:pPr>
      <w:r>
        <w:t>5. Grading Scale</w:t>
      </w:r>
    </w:p>
    <w:p w14:paraId="38C4A058" w14:textId="77777777" w:rsidR="005C0B24" w:rsidRDefault="00000000">
      <w:pPr>
        <w:spacing w:before="80" w:after="80"/>
      </w:pPr>
      <w:r>
        <w:t>This course uses the American University grading scale:</w:t>
      </w:r>
    </w:p>
    <w:p w14:paraId="6A481F8A" w14:textId="77777777" w:rsidR="005C0B24" w:rsidRDefault="005C0B24"/>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48"/>
        <w:gridCol w:w="2275"/>
        <w:gridCol w:w="4501"/>
      </w:tblGrid>
      <w:tr w:rsidR="005C0B24" w14:paraId="6B5D7824" w14:textId="77777777">
        <w:tblPrEx>
          <w:tblCellMar>
            <w:top w:w="0" w:type="dxa"/>
            <w:bottom w:w="0" w:type="dxa"/>
          </w:tblCellMar>
        </w:tblPrEx>
        <w:trPr>
          <w:tblHeader w:val="true"/>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1F4E79"/>
          </w:tcPr>
          <w:p w14:paraId="6BEEED96" w14:textId="77777777" w:rsidR="005C0B24" w:rsidRDefault="00000000">
            <w:pPr>
              <w:jc w:val="center"/>
            </w:pPr>
            <w:r>
              <w:rPr>
                <w:b/>
                <w:bCs/>
                <w:color w:val="FFFFFF"/>
                <w:sz w:val="20"/>
                <w:szCs w:val="20"/>
              </w:rPr>
              <w:t>Letter Grade</w:t>
            </w:r>
          </w:p>
        </w:tc>
        <w:tc>
          <w:tcPr>
            <w:tcW w:w="2340" w:type="dxa"/>
            <w:tcBorders>
              <w:top w:val="single" w:sz="1" w:space="0" w:color="999999"/>
              <w:left w:val="single" w:sz="1" w:space="0" w:color="999999"/>
              <w:bottom w:val="single" w:sz="1" w:space="0" w:color="999999"/>
              <w:right w:val="single" w:sz="1" w:space="0" w:color="999999"/>
            </w:tcBorders>
            <w:shd w:val="clear" w:color="auto" w:fill="1F4E79"/>
          </w:tcPr>
          <w:p w14:paraId="481D8861" w14:textId="77777777" w:rsidR="005C0B24" w:rsidRDefault="00000000">
            <w:pPr>
              <w:jc w:val="center"/>
            </w:pPr>
            <w:r>
              <w:rPr>
                <w:b/>
                <w:bCs/>
                <w:color w:val="FFFFFF"/>
                <w:sz w:val="20"/>
                <w:szCs w:val="20"/>
              </w:rPr>
              <w:t>Percentage</w:t>
            </w:r>
          </w:p>
        </w:tc>
        <w:tc>
          <w:tcPr>
            <w:tcW w:w="4680" w:type="dxa"/>
            <w:tcBorders>
              <w:top w:val="single" w:sz="1" w:space="0" w:color="999999"/>
              <w:left w:val="single" w:sz="1" w:space="0" w:color="999999"/>
              <w:bottom w:val="single" w:sz="1" w:space="0" w:color="999999"/>
              <w:right w:val="single" w:sz="1" w:space="0" w:color="999999"/>
            </w:tcBorders>
            <w:shd w:val="clear" w:color="auto" w:fill="1F4E79"/>
          </w:tcPr>
          <w:p w14:paraId="3005D8DE" w14:textId="77777777" w:rsidR="005C0B24" w:rsidRDefault="00000000">
            <w:pPr>
              <w:jc w:val="center"/>
            </w:pPr>
            <w:r>
              <w:rPr>
                <w:b/>
                <w:bCs/>
                <w:color w:val="FFFFFF"/>
                <w:sz w:val="20"/>
                <w:szCs w:val="20"/>
              </w:rPr>
              <w:t>Description</w:t>
            </w:r>
          </w:p>
        </w:tc>
      </w:tr>
      <w:tr w:rsidR="005C0B24" w14:paraId="273D0725"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tcPr>
          <w:p w14:paraId="7BD6DF75" w14:textId="77777777" w:rsidR="005C0B24" w:rsidRDefault="00000000">
            <w:pPr>
              <w:jc w:val="center"/>
            </w:pPr>
            <w:r>
              <w:rPr>
                <w:sz w:val="20"/>
                <w:szCs w:val="20"/>
              </w:rPr>
              <w:t>A</w:t>
            </w:r>
          </w:p>
        </w:tc>
        <w:tc>
          <w:tcPr>
            <w:tcW w:w="2340" w:type="dxa"/>
            <w:tcBorders>
              <w:top w:val="single" w:sz="1" w:space="0" w:color="999999"/>
              <w:left w:val="single" w:sz="1" w:space="0" w:color="999999"/>
              <w:bottom w:val="single" w:sz="1" w:space="0" w:color="999999"/>
              <w:right w:val="single" w:sz="1" w:space="0" w:color="999999"/>
            </w:tcBorders>
          </w:tcPr>
          <w:p w14:paraId="7D47785F" w14:textId="77777777" w:rsidR="005C0B24" w:rsidRDefault="00000000">
            <w:pPr>
              <w:jc w:val="center"/>
            </w:pPr>
            <w:r>
              <w:rPr>
                <w:sz w:val="20"/>
                <w:szCs w:val="20"/>
              </w:rPr>
              <w:t>93-100%</w:t>
            </w:r>
          </w:p>
        </w:tc>
        <w:tc>
          <w:tcPr>
            <w:tcW w:w="4680" w:type="dxa"/>
            <w:tcBorders>
              <w:top w:val="single" w:sz="1" w:space="0" w:color="999999"/>
              <w:left w:val="single" w:sz="1" w:space="0" w:color="999999"/>
              <w:bottom w:val="single" w:sz="1" w:space="0" w:color="999999"/>
              <w:right w:val="single" w:sz="1" w:space="0" w:color="999999"/>
            </w:tcBorders>
          </w:tcPr>
          <w:p w14:paraId="39E1D1DE" w14:textId="77777777" w:rsidR="005C0B24" w:rsidRDefault="00000000">
            <w:r>
              <w:rPr>
                <w:sz w:val="20"/>
                <w:szCs w:val="20"/>
              </w:rPr>
              <w:t>Excellent; exceptional achievement</w:t>
            </w:r>
          </w:p>
        </w:tc>
      </w:tr>
      <w:tr w:rsidR="005C0B24" w14:paraId="1E7C0F38"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6B47D395" w14:textId="77777777" w:rsidR="005C0B24" w:rsidRDefault="00000000">
            <w:pPr>
              <w:jc w:val="center"/>
            </w:pPr>
            <w:r>
              <w:rPr>
                <w:sz w:val="20"/>
                <w:szCs w:val="20"/>
              </w:rPr>
              <w:t>A-</w:t>
            </w:r>
          </w:p>
        </w:tc>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3D8CDD5C" w14:textId="77777777" w:rsidR="005C0B24" w:rsidRDefault="00000000">
            <w:pPr>
              <w:jc w:val="center"/>
            </w:pPr>
            <w:r>
              <w:rPr>
                <w:sz w:val="20"/>
                <w:szCs w:val="20"/>
              </w:rPr>
              <w:t>90-92%</w:t>
            </w:r>
          </w:p>
        </w:tc>
        <w:tc>
          <w:tcPr>
            <w:tcW w:w="4680" w:type="dxa"/>
            <w:tcBorders>
              <w:top w:val="single" w:sz="1" w:space="0" w:color="999999"/>
              <w:left w:val="single" w:sz="1" w:space="0" w:color="999999"/>
              <w:bottom w:val="single" w:sz="1" w:space="0" w:color="999999"/>
              <w:right w:val="single" w:sz="1" w:space="0" w:color="999999"/>
            </w:tcBorders>
            <w:shd w:val="clear" w:color="auto" w:fill="F2F2F2"/>
          </w:tcPr>
          <w:p w14:paraId="6014F15B" w14:textId="77777777" w:rsidR="005C0B24" w:rsidRDefault="00000000">
            <w:r>
              <w:rPr>
                <w:sz w:val="20"/>
                <w:szCs w:val="20"/>
              </w:rPr>
              <w:t>Excellent work with minor areas for improvement</w:t>
            </w:r>
          </w:p>
        </w:tc>
      </w:tr>
      <w:tr w:rsidR="005C0B24" w14:paraId="01EFA8AD"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tcPr>
          <w:p w14:paraId="1860A50C" w14:textId="77777777" w:rsidR="005C0B24" w:rsidRDefault="00000000">
            <w:pPr>
              <w:jc w:val="center"/>
            </w:pPr>
            <w:r>
              <w:rPr>
                <w:sz w:val="20"/>
                <w:szCs w:val="20"/>
              </w:rPr>
              <w:t>B+</w:t>
            </w:r>
          </w:p>
        </w:tc>
        <w:tc>
          <w:tcPr>
            <w:tcW w:w="2340" w:type="dxa"/>
            <w:tcBorders>
              <w:top w:val="single" w:sz="1" w:space="0" w:color="999999"/>
              <w:left w:val="single" w:sz="1" w:space="0" w:color="999999"/>
              <w:bottom w:val="single" w:sz="1" w:space="0" w:color="999999"/>
              <w:right w:val="single" w:sz="1" w:space="0" w:color="999999"/>
            </w:tcBorders>
          </w:tcPr>
          <w:p w14:paraId="4EA87EB2" w14:textId="77777777" w:rsidR="005C0B24" w:rsidRDefault="00000000">
            <w:pPr>
              <w:jc w:val="center"/>
            </w:pPr>
            <w:r>
              <w:rPr>
                <w:sz w:val="20"/>
                <w:szCs w:val="20"/>
              </w:rPr>
              <w:t>87-89%</w:t>
            </w:r>
          </w:p>
        </w:tc>
        <w:tc>
          <w:tcPr>
            <w:tcW w:w="4680" w:type="dxa"/>
            <w:tcBorders>
              <w:top w:val="single" w:sz="1" w:space="0" w:color="999999"/>
              <w:left w:val="single" w:sz="1" w:space="0" w:color="999999"/>
              <w:bottom w:val="single" w:sz="1" w:space="0" w:color="999999"/>
              <w:right w:val="single" w:sz="1" w:space="0" w:color="999999"/>
            </w:tcBorders>
          </w:tcPr>
          <w:p w14:paraId="31115B7D" w14:textId="77777777" w:rsidR="005C0B24" w:rsidRDefault="00000000">
            <w:r>
              <w:rPr>
                <w:sz w:val="20"/>
                <w:szCs w:val="20"/>
              </w:rPr>
              <w:t>Very good; above average performance</w:t>
            </w:r>
          </w:p>
        </w:tc>
      </w:tr>
      <w:tr w:rsidR="005C0B24" w14:paraId="5293422A"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6226954A" w14:textId="77777777" w:rsidR="005C0B24" w:rsidRDefault="00000000">
            <w:pPr>
              <w:jc w:val="center"/>
            </w:pPr>
            <w:r>
              <w:rPr>
                <w:sz w:val="20"/>
                <w:szCs w:val="20"/>
              </w:rPr>
              <w:t>B</w:t>
            </w:r>
          </w:p>
        </w:tc>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7D3A2AAC" w14:textId="77777777" w:rsidR="005C0B24" w:rsidRDefault="00000000">
            <w:pPr>
              <w:jc w:val="center"/>
            </w:pPr>
            <w:r>
              <w:rPr>
                <w:sz w:val="20"/>
                <w:szCs w:val="20"/>
              </w:rPr>
              <w:t>83-86%</w:t>
            </w:r>
          </w:p>
        </w:tc>
        <w:tc>
          <w:tcPr>
            <w:tcW w:w="4680" w:type="dxa"/>
            <w:tcBorders>
              <w:top w:val="single" w:sz="1" w:space="0" w:color="999999"/>
              <w:left w:val="single" w:sz="1" w:space="0" w:color="999999"/>
              <w:bottom w:val="single" w:sz="1" w:space="0" w:color="999999"/>
              <w:right w:val="single" w:sz="1" w:space="0" w:color="999999"/>
            </w:tcBorders>
            <w:shd w:val="clear" w:color="auto" w:fill="F2F2F2"/>
          </w:tcPr>
          <w:p w14:paraId="3B8403D1" w14:textId="77777777" w:rsidR="005C0B24" w:rsidRDefault="00000000">
            <w:r>
              <w:rPr>
                <w:sz w:val="20"/>
                <w:szCs w:val="20"/>
              </w:rPr>
              <w:t>Good; solid understanding demonstrated</w:t>
            </w:r>
          </w:p>
        </w:tc>
      </w:tr>
      <w:tr w:rsidR="005C0B24" w14:paraId="2FE6D1A2"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tcPr>
          <w:p w14:paraId="765E2BE8" w14:textId="77777777" w:rsidR="005C0B24" w:rsidRDefault="00000000">
            <w:pPr>
              <w:jc w:val="center"/>
            </w:pPr>
            <w:r>
              <w:rPr>
                <w:sz w:val="20"/>
                <w:szCs w:val="20"/>
              </w:rPr>
              <w:t>B-</w:t>
            </w:r>
          </w:p>
        </w:tc>
        <w:tc>
          <w:tcPr>
            <w:tcW w:w="2340" w:type="dxa"/>
            <w:tcBorders>
              <w:top w:val="single" w:sz="1" w:space="0" w:color="999999"/>
              <w:left w:val="single" w:sz="1" w:space="0" w:color="999999"/>
              <w:bottom w:val="single" w:sz="1" w:space="0" w:color="999999"/>
              <w:right w:val="single" w:sz="1" w:space="0" w:color="999999"/>
            </w:tcBorders>
          </w:tcPr>
          <w:p w14:paraId="15C75DA4" w14:textId="77777777" w:rsidR="005C0B24" w:rsidRDefault="00000000">
            <w:pPr>
              <w:jc w:val="center"/>
            </w:pPr>
            <w:r>
              <w:rPr>
                <w:sz w:val="20"/>
                <w:szCs w:val="20"/>
              </w:rPr>
              <w:t>80-82%</w:t>
            </w:r>
          </w:p>
        </w:tc>
        <w:tc>
          <w:tcPr>
            <w:tcW w:w="4680" w:type="dxa"/>
            <w:tcBorders>
              <w:top w:val="single" w:sz="1" w:space="0" w:color="999999"/>
              <w:left w:val="single" w:sz="1" w:space="0" w:color="999999"/>
              <w:bottom w:val="single" w:sz="1" w:space="0" w:color="999999"/>
              <w:right w:val="single" w:sz="1" w:space="0" w:color="999999"/>
            </w:tcBorders>
          </w:tcPr>
          <w:p w14:paraId="1C6027E2" w14:textId="77777777" w:rsidR="005C0B24" w:rsidRDefault="00000000">
            <w:r>
              <w:rPr>
                <w:sz w:val="20"/>
                <w:szCs w:val="20"/>
              </w:rPr>
              <w:t>Good work with some areas for improvement</w:t>
            </w:r>
          </w:p>
        </w:tc>
      </w:tr>
      <w:tr w:rsidR="005C0B24" w14:paraId="14A0364B"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45050719" w14:textId="77777777" w:rsidR="005C0B24" w:rsidRDefault="00000000">
            <w:pPr>
              <w:jc w:val="center"/>
            </w:pPr>
            <w:r>
              <w:rPr>
                <w:sz w:val="20"/>
                <w:szCs w:val="20"/>
              </w:rPr>
              <w:t>C+</w:t>
            </w:r>
          </w:p>
        </w:tc>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6CEE1C5A" w14:textId="77777777" w:rsidR="005C0B24" w:rsidRDefault="00000000">
            <w:pPr>
              <w:jc w:val="center"/>
            </w:pPr>
            <w:r>
              <w:rPr>
                <w:sz w:val="20"/>
                <w:szCs w:val="20"/>
              </w:rPr>
              <w:t>77-79%</w:t>
            </w:r>
          </w:p>
        </w:tc>
        <w:tc>
          <w:tcPr>
            <w:tcW w:w="4680" w:type="dxa"/>
            <w:tcBorders>
              <w:top w:val="single" w:sz="1" w:space="0" w:color="999999"/>
              <w:left w:val="single" w:sz="1" w:space="0" w:color="999999"/>
              <w:bottom w:val="single" w:sz="1" w:space="0" w:color="999999"/>
              <w:right w:val="single" w:sz="1" w:space="0" w:color="999999"/>
            </w:tcBorders>
            <w:shd w:val="clear" w:color="auto" w:fill="F2F2F2"/>
          </w:tcPr>
          <w:p w14:paraId="05C29379" w14:textId="77777777" w:rsidR="005C0B24" w:rsidRDefault="00000000">
            <w:r>
              <w:rPr>
                <w:sz w:val="20"/>
                <w:szCs w:val="20"/>
              </w:rPr>
              <w:t>Satisfactory; meets basic requirements</w:t>
            </w:r>
          </w:p>
        </w:tc>
      </w:tr>
      <w:tr w:rsidR="005C0B24" w14:paraId="7D51520F"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tcPr>
          <w:p w14:paraId="614F8A99" w14:textId="77777777" w:rsidR="005C0B24" w:rsidRDefault="00000000">
            <w:pPr>
              <w:jc w:val="center"/>
            </w:pPr>
            <w:r>
              <w:rPr>
                <w:sz w:val="20"/>
                <w:szCs w:val="20"/>
              </w:rPr>
              <w:t>C</w:t>
            </w:r>
          </w:p>
        </w:tc>
        <w:tc>
          <w:tcPr>
            <w:tcW w:w="2340" w:type="dxa"/>
            <w:tcBorders>
              <w:top w:val="single" w:sz="1" w:space="0" w:color="999999"/>
              <w:left w:val="single" w:sz="1" w:space="0" w:color="999999"/>
              <w:bottom w:val="single" w:sz="1" w:space="0" w:color="999999"/>
              <w:right w:val="single" w:sz="1" w:space="0" w:color="999999"/>
            </w:tcBorders>
          </w:tcPr>
          <w:p w14:paraId="438507FE" w14:textId="77777777" w:rsidR="005C0B24" w:rsidRDefault="00000000">
            <w:pPr>
              <w:jc w:val="center"/>
            </w:pPr>
            <w:r>
              <w:rPr>
                <w:sz w:val="20"/>
                <w:szCs w:val="20"/>
              </w:rPr>
              <w:t>73-76%</w:t>
            </w:r>
          </w:p>
        </w:tc>
        <w:tc>
          <w:tcPr>
            <w:tcW w:w="4680" w:type="dxa"/>
            <w:tcBorders>
              <w:top w:val="single" w:sz="1" w:space="0" w:color="999999"/>
              <w:left w:val="single" w:sz="1" w:space="0" w:color="999999"/>
              <w:bottom w:val="single" w:sz="1" w:space="0" w:color="999999"/>
              <w:right w:val="single" w:sz="1" w:space="0" w:color="999999"/>
            </w:tcBorders>
          </w:tcPr>
          <w:p w14:paraId="61907124" w14:textId="77777777" w:rsidR="005C0B24" w:rsidRDefault="00000000">
            <w:r>
              <w:rPr>
                <w:sz w:val="20"/>
                <w:szCs w:val="20"/>
              </w:rPr>
              <w:t>Adequate; acceptable understanding</w:t>
            </w:r>
          </w:p>
        </w:tc>
      </w:tr>
      <w:tr w:rsidR="005C0B24" w14:paraId="3FA3D2D0"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33C5FD70" w14:textId="77777777" w:rsidR="005C0B24" w:rsidRDefault="00000000">
            <w:pPr>
              <w:jc w:val="center"/>
            </w:pPr>
            <w:r>
              <w:rPr>
                <w:sz w:val="20"/>
                <w:szCs w:val="20"/>
              </w:rPr>
              <w:t>C-</w:t>
            </w:r>
          </w:p>
        </w:tc>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4D98926B" w14:textId="77777777" w:rsidR="005C0B24" w:rsidRDefault="00000000">
            <w:pPr>
              <w:jc w:val="center"/>
            </w:pPr>
            <w:r>
              <w:rPr>
                <w:sz w:val="20"/>
                <w:szCs w:val="20"/>
              </w:rPr>
              <w:t>70-72%</w:t>
            </w:r>
          </w:p>
        </w:tc>
        <w:tc>
          <w:tcPr>
            <w:tcW w:w="4680" w:type="dxa"/>
            <w:tcBorders>
              <w:top w:val="single" w:sz="1" w:space="0" w:color="999999"/>
              <w:left w:val="single" w:sz="1" w:space="0" w:color="999999"/>
              <w:bottom w:val="single" w:sz="1" w:space="0" w:color="999999"/>
              <w:right w:val="single" w:sz="1" w:space="0" w:color="999999"/>
            </w:tcBorders>
            <w:shd w:val="clear" w:color="auto" w:fill="F2F2F2"/>
          </w:tcPr>
          <w:p w14:paraId="7135FFD0" w14:textId="77777777" w:rsidR="005C0B24" w:rsidRDefault="00000000">
            <w:r>
              <w:rPr>
                <w:sz w:val="20"/>
                <w:szCs w:val="20"/>
              </w:rPr>
              <w:t>Passing but below average</w:t>
            </w:r>
          </w:p>
        </w:tc>
      </w:tr>
      <w:tr w:rsidR="005C0B24" w14:paraId="00FAB6D9"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tcPr>
          <w:p w14:paraId="0ADB3FF8" w14:textId="77777777" w:rsidR="005C0B24" w:rsidRDefault="00000000">
            <w:pPr>
              <w:jc w:val="center"/>
            </w:pPr>
            <w:r>
              <w:rPr>
                <w:sz w:val="20"/>
                <w:szCs w:val="20"/>
              </w:rPr>
              <w:t>D</w:t>
            </w:r>
          </w:p>
        </w:tc>
        <w:tc>
          <w:tcPr>
            <w:tcW w:w="2340" w:type="dxa"/>
            <w:tcBorders>
              <w:top w:val="single" w:sz="1" w:space="0" w:color="999999"/>
              <w:left w:val="single" w:sz="1" w:space="0" w:color="999999"/>
              <w:bottom w:val="single" w:sz="1" w:space="0" w:color="999999"/>
              <w:right w:val="single" w:sz="1" w:space="0" w:color="999999"/>
            </w:tcBorders>
          </w:tcPr>
          <w:p w14:paraId="1831CEBC" w14:textId="77777777" w:rsidR="005C0B24" w:rsidRDefault="00000000">
            <w:pPr>
              <w:jc w:val="center"/>
            </w:pPr>
            <w:r>
              <w:rPr>
                <w:sz w:val="20"/>
                <w:szCs w:val="20"/>
              </w:rPr>
              <w:t>60-69%</w:t>
            </w:r>
          </w:p>
        </w:tc>
        <w:tc>
          <w:tcPr>
            <w:tcW w:w="4680" w:type="dxa"/>
            <w:tcBorders>
              <w:top w:val="single" w:sz="1" w:space="0" w:color="999999"/>
              <w:left w:val="single" w:sz="1" w:space="0" w:color="999999"/>
              <w:bottom w:val="single" w:sz="1" w:space="0" w:color="999999"/>
              <w:right w:val="single" w:sz="1" w:space="0" w:color="999999"/>
            </w:tcBorders>
          </w:tcPr>
          <w:p w14:paraId="49D4BA45" w14:textId="77777777" w:rsidR="005C0B24" w:rsidRDefault="00000000">
            <w:r>
              <w:rPr>
                <w:sz w:val="20"/>
                <w:szCs w:val="20"/>
              </w:rPr>
              <w:t xml:space="preserve">Minimum </w:t>
            </w:r>
            <w:proofErr w:type="gramStart"/>
            <w:r>
              <w:rPr>
                <w:sz w:val="20"/>
                <w:szCs w:val="20"/>
              </w:rPr>
              <w:t>passing;</w:t>
            </w:r>
            <w:proofErr w:type="gramEnd"/>
            <w:r>
              <w:rPr>
                <w:sz w:val="20"/>
                <w:szCs w:val="20"/>
              </w:rPr>
              <w:t xml:space="preserve"> significant improvement needed</w:t>
            </w:r>
          </w:p>
        </w:tc>
      </w:tr>
      <w:tr w:rsidR="005C0B24" w14:paraId="390A8FE2"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2D4544C7" w14:textId="77777777" w:rsidR="005C0B24" w:rsidRDefault="00000000">
            <w:pPr>
              <w:jc w:val="center"/>
            </w:pPr>
            <w:r>
              <w:rPr>
                <w:sz w:val="20"/>
                <w:szCs w:val="20"/>
              </w:rPr>
              <w:t>F</w:t>
            </w:r>
          </w:p>
        </w:tc>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556C44A2" w14:textId="77777777" w:rsidR="005C0B24" w:rsidRDefault="00000000">
            <w:pPr>
              <w:jc w:val="center"/>
            </w:pPr>
            <w:r>
              <w:rPr>
                <w:sz w:val="20"/>
                <w:szCs w:val="20"/>
              </w:rPr>
              <w:t>Below 60%</w:t>
            </w:r>
          </w:p>
        </w:tc>
        <w:tc>
          <w:tcPr>
            <w:tcW w:w="4680" w:type="dxa"/>
            <w:tcBorders>
              <w:top w:val="single" w:sz="1" w:space="0" w:color="999999"/>
              <w:left w:val="single" w:sz="1" w:space="0" w:color="999999"/>
              <w:bottom w:val="single" w:sz="1" w:space="0" w:color="999999"/>
              <w:right w:val="single" w:sz="1" w:space="0" w:color="999999"/>
            </w:tcBorders>
            <w:shd w:val="clear" w:color="auto" w:fill="F2F2F2"/>
          </w:tcPr>
          <w:p w14:paraId="3591E4FD" w14:textId="77777777" w:rsidR="005C0B24" w:rsidRDefault="00000000">
            <w:r>
              <w:rPr>
                <w:sz w:val="20"/>
                <w:szCs w:val="20"/>
              </w:rPr>
              <w:t>Failing; does not meet course requirements</w:t>
            </w:r>
          </w:p>
        </w:tc>
      </w:tr>
    </w:tbl>
    <w:p w14:paraId="653EA000" w14:textId="77777777" w:rsidR="005C0B24" w:rsidRDefault="005C0B24"/>
    <w:p w14:paraId="2E8D041B" w14:textId="77777777" w:rsidR="005C0B24" w:rsidRDefault="00000000">
      <w:pPr>
        <w:pageBreakBefore w:val="0"/>
      </w:pPr>
      <w:r/>
    </w:p>
    <w:p w14:paraId="72E34D0F" w14:textId="77777777" w:rsidR="005C0B24" w:rsidRDefault="00000000">
      <w:pPr>
        <w:pStyle w:val="Heading1"/>
      </w:pPr>
      <w:r>
        <w:lastRenderedPageBreak/>
        <w:t>6. Course Schedule</w:t>
      </w:r>
    </w:p>
    <w:p w14:paraId="15101CB5" w14:textId="77777777" w:rsidR="005C0B24" w:rsidRDefault="00000000">
      <w:pPr>
        <w:pStyle w:val="Heading2"/>
      </w:pPr>
      <w:r>
        <w:t>Week 1: International Monetary and Financial Architecture</w:t>
      </w:r>
    </w:p>
    <w:p w14:paraId="262A00BB" w14:textId="77777777" w:rsidR="005C0B24" w:rsidRDefault="00000000">
      <w:pPr>
        <w:spacing w:before="80" w:after="60"/>
      </w:pPr>
      <w:r>
        <w:t>Topics: international monetary-system evolution; exchange-rate regimes; reserve currencies; IMF, World Bank Group, BIS, central banks, development banks, private intermediaries, and capital markets; international liquidity; global financial safety net; financial integration and fragmentation; ethics and public purpose</w:t>
      </w:r>
    </w:p>
    <w:p w14:paraId="346AC985" w14:textId="77777777" w:rsidR="005C0B24" w:rsidRDefault="00000000">
      <w:pPr>
        <w:spacing w:before="60" w:after="60"/>
      </w:pPr>
      <w:r>
        <w:t>Readings: Eun et al., Chapters 1-2; Suranovic, international monetary-system sections; current IMF, World Bank, and BIS evidence</w:t>
      </w:r>
    </w:p>
    <w:p w14:paraId="7FC1C702" w14:textId="77777777" w:rsidR="005C0B24" w:rsidRDefault="00000000">
      <w:pPr>
        <w:spacing w:before="60" w:after="60"/>
      </w:pPr>
      <w:r>
        <w:t>Synchronous: global financial-architecture, institution, incentive, mandate, and transmission-map laboratory</w:t>
      </w:r>
    </w:p>
    <w:p w14:paraId="47FC93CF" w14:textId="77777777" w:rsidR="005C0B24" w:rsidRDefault="00000000">
      <w:pPr>
        <w:spacing w:before="60" w:after="100"/>
      </w:pPr>
      <w:r>
        <w:t>Asynchronous: select an approved country, multinational, development-finance operation, or cross-border decision and establish the evidence register</w:t>
      </w:r>
    </w:p>
    <w:p w14:paraId="3FBF3E3F" w14:textId="77777777" w:rsidR="005C0B24" w:rsidRDefault="00000000">
      <w:pPr>
        <w:pStyle w:val="Heading2"/>
      </w:pPr>
      <w:r>
        <w:t>Week 2: Balance of Payments, External Positions, and Global Capital Flows</w:t>
      </w:r>
    </w:p>
    <w:p w14:paraId="26C3CCC2" w14:textId="77777777" w:rsidR="005C0B24" w:rsidRDefault="00000000">
      <w:pPr>
        <w:spacing w:before="80" w:after="60"/>
      </w:pPr>
      <w:r>
        <w:t>Topics: current, capital, and financial accounts; international investment position; external assets and liabilities; reserve adequacy; capital flows; sudden stops; global imbalances; remittances; terms of trade; external adjustment; data limitations; BPM7</w:t>
      </w:r>
    </w:p>
    <w:p w14:paraId="4092E819" w14:textId="77777777" w:rsidR="005C0B24" w:rsidRDefault="00000000">
      <w:pPr>
        <w:spacing w:before="60" w:after="60"/>
      </w:pPr>
      <w:r>
        <w:t>Readings: Suranovic, balance-of-payments chapters; IMF BPM7 and BOP/IIP data; World Development Indicators</w:t>
      </w:r>
    </w:p>
    <w:p w14:paraId="5EDED4B5" w14:textId="77777777" w:rsidR="005C0B24" w:rsidRDefault="00000000">
      <w:pPr>
        <w:spacing w:before="60" w:after="60"/>
      </w:pPr>
      <w:r>
        <w:t>Synchronous: balance-of-payments reconstruction, external-position, capital-flow, and vulnerability laboratory</w:t>
      </w:r>
    </w:p>
    <w:p w14:paraId="2593047D" w14:textId="77777777" w:rsidR="005C0B24" w:rsidRDefault="00000000">
      <w:pPr>
        <w:spacing w:before="60" w:after="100"/>
      </w:pPr>
      <w:r>
        <w:t>Asynchronous: build a country external-accounts dashboard and explain principal financing and adjustment channels</w:t>
      </w:r>
    </w:p>
    <w:p w14:paraId="141FF5FF" w14:textId="77777777" w:rsidR="005C0B24" w:rsidRDefault="00000000">
      <w:pPr>
        <w:pStyle w:val="Heading2"/>
      </w:pPr>
      <w:r>
        <w:t>Week 3: Foreign-Exchange Markets, Exchange Rates, and Parity Relationships</w:t>
      </w:r>
    </w:p>
    <w:p w14:paraId="292CEF29" w14:textId="77777777" w:rsidR="005C0B24" w:rsidRDefault="00000000">
      <w:pPr>
        <w:spacing w:before="80" w:after="60"/>
      </w:pPr>
      <w:r>
        <w:t>Topics: spot, forward, swap, futures, and options markets; quotations; cross rates; transaction mechanics; purchasing-power parity; interest-rate parity; Fisher effects; expectations; carry; basis; convertibility; capital controls; forecasting limits</w:t>
      </w:r>
    </w:p>
    <w:p w14:paraId="3BDFC239" w14:textId="77777777" w:rsidR="005C0B24" w:rsidRDefault="00000000">
      <w:pPr>
        <w:spacing w:before="60" w:after="60"/>
      </w:pPr>
      <w:r>
        <w:t>Readings: Eun et al., exchange-rate and parity chapters; Suranovic, foreign-exchange and parity sections; BIS foreign-exchange survey data</w:t>
      </w:r>
    </w:p>
    <w:p w14:paraId="122AE5BE" w14:textId="77777777" w:rsidR="005C0B24" w:rsidRDefault="00000000">
      <w:pPr>
        <w:spacing w:before="60" w:after="60"/>
      </w:pPr>
      <w:r>
        <w:t>Synchronous: cross-rate, forward-rate, parity, arbitrage-boundary, and scenario laboratory</w:t>
      </w:r>
    </w:p>
    <w:p w14:paraId="12BC661E" w14:textId="77777777" w:rsidR="005C0B24" w:rsidRDefault="00000000">
      <w:pPr>
        <w:spacing w:before="60" w:after="100"/>
      </w:pPr>
      <w:r>
        <w:t>Asynchronous: construct and test a transparent exchange-rate scenario model with sensitivity analysis</w:t>
      </w:r>
    </w:p>
    <w:p w14:paraId="60A65A4C" w14:textId="77777777" w:rsidR="005C0B24" w:rsidRDefault="00000000">
      <w:pPr>
        <w:pStyle w:val="Heading2"/>
      </w:pPr>
      <w:r>
        <w:t>Week 4: Country, Sovereign, Currency, and Transfer Risk</w:t>
      </w:r>
    </w:p>
    <w:p w14:paraId="68E307CC" w14:textId="77777777" w:rsidR="005C0B24" w:rsidRDefault="00000000">
      <w:pPr>
        <w:spacing w:before="80" w:after="60"/>
      </w:pPr>
      <w:r>
        <w:t>Topics: country-risk frameworks; sovereign credit and spreads; debt stocks and service; fiscal and external capacity; political and institutional risk; convertibility and transfer restrictions; expropriation; policy credibility; ratings; scenarios; early-warning indicators; evidence quality</w:t>
      </w:r>
    </w:p>
    <w:p w14:paraId="68AF166B" w14:textId="77777777" w:rsidR="005C0B24" w:rsidRDefault="00000000">
      <w:pPr>
        <w:spacing w:before="60" w:after="60"/>
      </w:pPr>
      <w:r>
        <w:t>Readings: Eun et al., country-risk material; World Bank debt and development indicators; IMF surveillance and debt evidence; approved sovereign documents</w:t>
      </w:r>
    </w:p>
    <w:p w14:paraId="1FFBE3A2" w14:textId="77777777" w:rsidR="005C0B24" w:rsidRDefault="00000000">
      <w:pPr>
        <w:spacing w:before="60" w:after="60"/>
      </w:pPr>
      <w:r>
        <w:t>Synchronous: country-risk scorecard, sovereign-spread, scenario, and investment-gate challenge</w:t>
      </w:r>
    </w:p>
    <w:p w14:paraId="1D5892BF" w14:textId="77777777" w:rsidR="005C0B24" w:rsidRDefault="00000000">
      <w:pPr>
        <w:spacing w:before="60" w:after="60"/>
      </w:pPr>
      <w:r>
        <w:t>Asynchronous: complete the Country, Currency, and Capital-Flow Diagnostic</w:t>
      </w:r>
    </w:p>
    <w:p w14:paraId="6A027B82" w14:textId="77777777" w:rsidR="005C0B24" w:rsidRDefault="00000000">
      <w:pPr>
        <w:spacing w:before="60" w:after="100"/>
      </w:pPr>
      <w:r>
        <w:t>Assessment Due: Country, Currency &amp; Capital-Flow Diagnostic (15%)</w:t>
      </w:r>
    </w:p>
    <w:p w14:paraId="7C49070F" w14:textId="77777777" w:rsidR="005C0B24" w:rsidRDefault="00000000">
      <w:pPr>
        <w:pStyle w:val="Heading2"/>
      </w:pPr>
      <w:r>
        <w:t>Week 5: Multinational Capital Budgeting and International Cost of Capital</w:t>
      </w:r>
    </w:p>
    <w:p w14:paraId="18A0CCAD" w14:textId="77777777" w:rsidR="005C0B24" w:rsidRDefault="00000000">
      <w:pPr>
        <w:spacing w:before="80" w:after="60"/>
      </w:pPr>
      <w:r>
        <w:t>Topics: parent and project cash flows; taxes and remittances; transfer pricing awareness; blocked funds; inflation and exchange rates; subsidies; political risk; real options; international CAPM limits; sovereign and currency adjustments; discount rates; valuation consistency</w:t>
      </w:r>
    </w:p>
    <w:p w14:paraId="6BD8D6FF" w14:textId="77777777" w:rsidR="005C0B24" w:rsidRDefault="00000000">
      <w:pPr>
        <w:spacing w:before="60" w:after="60"/>
      </w:pPr>
      <w:r>
        <w:t>Readings: Eun et al., multinational capital-budgeting and cost-of-capital chapters; OpenStax valuation and capital-budgeting chapters</w:t>
      </w:r>
    </w:p>
    <w:p w14:paraId="78BCDFC8" w14:textId="77777777" w:rsidR="005C0B24" w:rsidRDefault="00000000">
      <w:pPr>
        <w:spacing w:before="60" w:after="60"/>
      </w:pPr>
      <w:r>
        <w:t>Synchronous: cross-border cash-flow, cost-of-capital, scenario, and value-reconciliation laboratory</w:t>
      </w:r>
    </w:p>
    <w:p w14:paraId="00E1F246" w14:textId="77777777" w:rsidR="005C0B24" w:rsidRDefault="00000000">
      <w:pPr>
        <w:spacing w:before="60" w:after="100"/>
      </w:pPr>
      <w:r>
        <w:t>Asynchronous: develop a transparent parent/project valuation model and explain material differences</w:t>
      </w:r>
    </w:p>
    <w:p w14:paraId="77180938" w14:textId="77777777" w:rsidR="005C0B24" w:rsidRDefault="00000000">
      <w:pPr>
        <w:pStyle w:val="Heading2"/>
      </w:pPr>
      <w:r>
        <w:t>Week 6: International Funding, Treasury, Trade Finance, and Risk Management</w:t>
      </w:r>
    </w:p>
    <w:p w14:paraId="7026A679" w14:textId="77777777" w:rsidR="005C0B24" w:rsidRDefault="00000000">
      <w:pPr>
        <w:spacing w:before="80" w:after="60"/>
      </w:pPr>
      <w:r>
        <w:t>Topics: international debt and equity markets; syndicated loans; Eurocurrency and global bond markets; working capital; cash pooling; liquidity; trade credit; letters of credit; supply-chain finance; transaction, translation, and economic exposure; natural and financial hedging; derivatives; counterparty and documentation risk</w:t>
      </w:r>
    </w:p>
    <w:p w14:paraId="15CD6260" w14:textId="77777777" w:rsidR="005C0B24" w:rsidRDefault="00000000">
      <w:pPr>
        <w:spacing w:before="60" w:after="60"/>
      </w:pPr>
      <w:r>
        <w:t>Readings: Eun et al., global financing, treasury, and exposure-management chapters; ICC and BIS materials selected by the instructor</w:t>
      </w:r>
    </w:p>
    <w:p w14:paraId="0343BE71" w14:textId="77777777" w:rsidR="005C0B24" w:rsidRDefault="00000000">
      <w:pPr>
        <w:spacing w:before="60" w:after="60"/>
      </w:pPr>
      <w:r>
        <w:t>Synchronous: funding, liquidity, trade-finance, exposure, hedge, and treasury-policy laboratory</w:t>
      </w:r>
    </w:p>
    <w:p w14:paraId="58EDA60D" w14:textId="77777777" w:rsidR="005C0B24" w:rsidRDefault="00000000">
      <w:pPr>
        <w:spacing w:before="60" w:after="100"/>
      </w:pPr>
      <w:r>
        <w:t>Asynchronous: prepare for the midterm through an integrated multinational financing and risk case</w:t>
      </w:r>
    </w:p>
    <w:p w14:paraId="300838FC" w14:textId="77777777" w:rsidR="005C0B24" w:rsidRDefault="00000000">
      <w:pPr>
        <w:pStyle w:val="Heading2"/>
      </w:pPr>
      <w:r>
        <w:t>Week 7: Midterm Examination and International Finance Integration</w:t>
      </w:r>
    </w:p>
    <w:p w14:paraId="467EFA7B" w14:textId="77777777" w:rsidR="005C0B24" w:rsidRDefault="00000000">
      <w:pPr>
        <w:spacing w:before="80" w:after="60"/>
      </w:pPr>
      <w:r>
        <w:t>Topics: monetary architecture; balance of payments; exchange rates; parity; capital flows; country and sovereign risk; multinational capital budgeting; global funding; treasury; trade finance; exposure measurement and hedging</w:t>
      </w:r>
    </w:p>
    <w:p w14:paraId="105C1FD9" w14:textId="77777777" w:rsidR="005C0B24" w:rsidRDefault="00000000">
      <w:pPr>
        <w:spacing w:before="60" w:after="60"/>
      </w:pPr>
      <w:r>
        <w:t>Readings: Review Weeks 1-6 resources</w:t>
      </w:r>
    </w:p>
    <w:p w14:paraId="393E6F2C" w14:textId="77777777" w:rsidR="005C0B24" w:rsidRDefault="00000000">
      <w:pPr>
        <w:spacing w:before="60" w:after="60"/>
      </w:pPr>
      <w:r>
        <w:t>Synchronous: individual midterm examination; generative AI is not permitted unless expressly authorized</w:t>
      </w:r>
    </w:p>
    <w:p w14:paraId="2B3BAC53" w14:textId="77777777" w:rsidR="005C0B24" w:rsidRDefault="00000000">
      <w:pPr>
        <w:spacing w:before="60" w:after="60"/>
      </w:pPr>
      <w:r>
        <w:t>Asynchronous: post-examination correction and professional-learning plan</w:t>
      </w:r>
    </w:p>
    <w:p w14:paraId="2B4EAE9E" w14:textId="77777777" w:rsidR="005C0B24" w:rsidRDefault="00000000">
      <w:pPr>
        <w:spacing w:before="60" w:after="100"/>
      </w:pPr>
      <w:r>
        <w:t>Assessment Due: Midterm Examination (20%)</w:t>
      </w:r>
    </w:p>
    <w:p w14:paraId="048D9B4D" w14:textId="77777777" w:rsidR="005C0B24" w:rsidRDefault="00000000">
      <w:pPr>
        <w:pStyle w:val="Heading2"/>
      </w:pPr>
      <w:r>
        <w:t>Week 8: Development Banking Architecture, Mandates, and Financial Models</w:t>
      </w:r>
    </w:p>
    <w:p w14:paraId="478B796B" w14:textId="77777777" w:rsidR="005C0B24" w:rsidRDefault="00000000">
      <w:pPr>
        <w:spacing w:before="80" w:after="60"/>
      </w:pPr>
      <w:r>
        <w:t>Topics: development-finance rationale and market failures; IBRD and IDA; IFC; MIGA; regional and national development banks; sovereign and non-sovereign windows; capital structure; callable capital; preferred-creditor treatment; concessionality; replenishments; pricing; graduation; governance; credit ratings; accountability</w:t>
      </w:r>
    </w:p>
    <w:p w14:paraId="4CBDCA4C" w14:textId="77777777" w:rsidR="005C0B24" w:rsidRDefault="00000000">
      <w:pPr>
        <w:spacing w:before="60" w:after="60"/>
      </w:pPr>
      <w:r>
        <w:t>Readings: World Bank Group institutional and annual-report resources; selected regional development-bank charters and financial statements</w:t>
      </w:r>
    </w:p>
    <w:p w14:paraId="2806A9F1" w14:textId="77777777" w:rsidR="005C0B24" w:rsidRDefault="00000000">
      <w:pPr>
        <w:spacing w:before="60" w:after="60"/>
      </w:pPr>
      <w:r>
        <w:t>Synchronous: mandate, instrument, balance-sheet, governance, and institutional-comparative laboratory</w:t>
      </w:r>
    </w:p>
    <w:p w14:paraId="22B23E58" w14:textId="77777777" w:rsidR="005C0B24" w:rsidRDefault="00000000">
      <w:pPr>
        <w:spacing w:before="60" w:after="100"/>
      </w:pPr>
      <w:r>
        <w:t>Asynchronous: compare two development institutions and map mandates, clients, instruments, capital, risks, controls, and results</w:t>
      </w:r>
    </w:p>
    <w:p w14:paraId="2B0E8DDC" w14:textId="77777777" w:rsidR="005C0B24" w:rsidRDefault="00000000">
      <w:pPr>
        <w:pStyle w:val="Heading2"/>
      </w:pPr>
      <w:r>
        <w:t>Week 9: Sovereign Development-Bank Operations and the Project Cycle</w:t>
      </w:r>
    </w:p>
    <w:p w14:paraId="68650D3B" w14:textId="77777777" w:rsidR="005C0B24" w:rsidRDefault="00000000">
      <w:pPr>
        <w:spacing w:before="80" w:after="60"/>
      </w:pPr>
      <w:r>
        <w:t>Topics: country partnership frameworks; project identification; theory of change; preparation; economic and financial appraisal; safeguards; procurement; fiduciary controls; board approval; legal agreements; effectiveness; disbursement; implementation support; supervision; restructuring; completion; evaluation; grievance and accountability mechanisms</w:t>
      </w:r>
    </w:p>
    <w:p w14:paraId="07B9883F" w14:textId="77777777" w:rsidR="005C0B24" w:rsidRDefault="00000000">
      <w:pPr>
        <w:spacing w:before="60" w:after="60"/>
      </w:pPr>
      <w:r>
        <w:t>Readings: World Bank Project Cycle and Environmental and Social Framework; ADB project-cycle resources; representative public project documents</w:t>
      </w:r>
    </w:p>
    <w:p w14:paraId="73AC9D5E" w14:textId="77777777" w:rsidR="005C0B24" w:rsidRDefault="00000000">
      <w:pPr>
        <w:spacing w:before="60" w:after="60"/>
      </w:pPr>
      <w:r>
        <w:t>Synchronous: country-strategy, project-concept, appraisal, procurement, disbursement, supervision, and results-chain simulation</w:t>
      </w:r>
    </w:p>
    <w:p w14:paraId="401E201A" w14:textId="77777777" w:rsidR="005C0B24" w:rsidRDefault="00000000">
      <w:pPr>
        <w:spacing w:before="60" w:after="100"/>
      </w:pPr>
      <w:r>
        <w:t>Asynchronous: prepare an operational review of a public development-finance project using its disclosed project record</w:t>
      </w:r>
    </w:p>
    <w:p w14:paraId="5EC25026" w14:textId="77777777" w:rsidR="005C0B24" w:rsidRDefault="00000000">
      <w:pPr>
        <w:pStyle w:val="Heading2"/>
      </w:pPr>
      <w:r>
        <w:t>Week 10: IFC, Private-Sector Development, MIGA, and Mobilization</w:t>
      </w:r>
    </w:p>
    <w:p w14:paraId="5F899F50" w14:textId="77777777" w:rsidR="005C0B24" w:rsidRDefault="00000000">
      <w:pPr>
        <w:spacing w:before="80" w:after="60"/>
      </w:pPr>
      <w:r>
        <w:t>Topics: IFC investment cycle; loans, equity, quasi-equity, syndications, trade and supply-chain finance, and advisory services; bankability; additionality; AIMM; portfolio supervision; IFC Performance Standards; MIGA political-risk and credit guarantees; project finance; public-private partnerships; blended concessional finance; mobilization; subsidy discipline; exit</w:t>
      </w:r>
    </w:p>
    <w:p w14:paraId="3DB1B447" w14:textId="77777777" w:rsidR="005C0B24" w:rsidRDefault="00000000">
      <w:pPr>
        <w:spacing w:before="60" w:after="60"/>
      </w:pPr>
      <w:r>
        <w:t>Readings: IFC Project Cycle, AIMM guidance, and Performance Standards; MIGA guarantee resources; OECD blended-finance principles</w:t>
      </w:r>
    </w:p>
    <w:p w14:paraId="655DD711" w14:textId="77777777" w:rsidR="005C0B24" w:rsidRDefault="00000000">
      <w:pPr>
        <w:spacing w:before="60" w:after="60"/>
      </w:pPr>
      <w:r>
        <w:t>Synchronous: IFC-style screening, appraisal, structuring, additionality, safeguards, AIMM, guarantee, and investment-committee simulation</w:t>
      </w:r>
    </w:p>
    <w:p w14:paraId="5C1087C2" w14:textId="77777777" w:rsidR="005C0B24" w:rsidRDefault="00000000">
      <w:pPr>
        <w:spacing w:before="60" w:after="60"/>
      </w:pPr>
      <w:r>
        <w:t>Asynchronous: submit the Development Finance Investment Appraisal Memorandum</w:t>
      </w:r>
    </w:p>
    <w:p w14:paraId="0134FC7D" w14:textId="77777777" w:rsidR="005C0B24" w:rsidRDefault="00000000">
      <w:pPr>
        <w:spacing w:before="60" w:after="100"/>
      </w:pPr>
      <w:r>
        <w:t>Assessment Due: Development Finance Investment Appraisal Memorandum (15%)</w:t>
      </w:r>
    </w:p>
    <w:p w14:paraId="68C7072C" w14:textId="77777777" w:rsidR="005C0B24" w:rsidRDefault="00000000">
      <w:pPr>
        <w:pStyle w:val="Heading2"/>
      </w:pPr>
      <w:r>
        <w:t>Week 11: Sovereign Debt Sustainability, Concessional Finance, and Crisis Response</w:t>
      </w:r>
    </w:p>
    <w:p w14:paraId="366B12EE" w14:textId="77777777" w:rsidR="005C0B24" w:rsidRDefault="00000000">
      <w:pPr>
        <w:spacing w:before="80" w:after="60"/>
      </w:pPr>
      <w:r>
        <w:t>Topics: debt stocks, flows, service, composition, and contingent liabilities; debt-carrying capacity; World Bank-IMF debt-sustainability frameworks; stress tests; grants and concessional credits; debt limits; restructuring; collective-action clauses; creditor coordination; debt transparency; disaster and crisis instruments; moral hazard and distribution</w:t>
      </w:r>
    </w:p>
    <w:p w14:paraId="44C201A3" w14:textId="77777777" w:rsidR="005C0B24" w:rsidRDefault="00000000">
      <w:pPr>
        <w:spacing w:before="60" w:after="60"/>
      </w:pPr>
      <w:r>
        <w:t>Readings: World Bank-IMF debt-sustainability resources; International Debt Statistics; selected IMF and sovereign-debt documents</w:t>
      </w:r>
    </w:p>
    <w:p w14:paraId="61C5A780" w14:textId="77777777" w:rsidR="005C0B24" w:rsidRDefault="00000000">
      <w:pPr>
        <w:spacing w:before="60" w:after="60"/>
      </w:pPr>
      <w:r>
        <w:t>Synchronous: debt-sustainability, financing-envelope, stress-test, restructuring, and policy-choice laboratory</w:t>
      </w:r>
    </w:p>
    <w:p w14:paraId="76B7B8CE" w14:textId="77777777" w:rsidR="005C0B24" w:rsidRDefault="00000000">
      <w:pPr>
        <w:spacing w:before="60" w:after="100"/>
      </w:pPr>
      <w:r>
        <w:t>Asynchronous: develop debt and fiscal-space scenarios and document policy, financing, and distributional trade-offs</w:t>
      </w:r>
    </w:p>
    <w:p w14:paraId="0139B8D7" w14:textId="77777777" w:rsidR="005C0B24" w:rsidRDefault="00000000">
      <w:pPr>
        <w:pStyle w:val="Heading2"/>
      </w:pPr>
      <w:r>
        <w:t>Week 12: Sustainable Development Finance, Safeguards, and Impact Integrity</w:t>
      </w:r>
    </w:p>
    <w:p w14:paraId="1E74C947" w14:textId="77777777" w:rsidR="005C0B24" w:rsidRDefault="00000000">
      <w:pPr>
        <w:spacing w:before="80" w:after="60"/>
      </w:pPr>
      <w:r>
        <w:t>Topics: sustainable development and the SDGs; climate mitigation and adaptation; nature and biodiversity; resilience; inclusion; gender; labor; community health and safety; land and resettlement; Indigenous Peoples; just transition; Paris alignment; green, social, sustainability, and sustainability-linked instruments; impact measurement; additionality; attribution; leakage; rebound; greenwashing; grievance and remedy</w:t>
      </w:r>
    </w:p>
    <w:p w14:paraId="015A72FA" w14:textId="77777777" w:rsidR="005C0B24" w:rsidRDefault="00000000">
      <w:pPr>
        <w:spacing w:before="60" w:after="60"/>
      </w:pPr>
      <w:r>
        <w:t>Readings: World Bank Environmental and Social Framework; IFC Performance Standards and AIMM; selected multilateral climate, nature, inclusion, and impact resources</w:t>
      </w:r>
    </w:p>
    <w:p w14:paraId="05F9990F" w14:textId="77777777" w:rsidR="005C0B24" w:rsidRDefault="00000000">
      <w:pPr>
        <w:spacing w:before="60" w:after="60"/>
      </w:pPr>
      <w:r>
        <w:t>Synchronous: development-impact, safeguards, stakeholder, climate/nature, claim-integrity, and results-framework laboratory</w:t>
      </w:r>
    </w:p>
    <w:p w14:paraId="53718112" w14:textId="77777777" w:rsidR="005C0B24" w:rsidRDefault="00000000">
      <w:pPr>
        <w:spacing w:before="60" w:after="60"/>
      </w:pPr>
      <w:r>
        <w:t>Asynchronous: complete financing structure, sustainability analysis, safeguards, results chain, indicators, governance, and implementation roadmap</w:t>
      </w:r>
    </w:p>
    <w:p w14:paraId="4471681A" w14:textId="77777777" w:rsidR="005C0B24" w:rsidRDefault="00000000">
      <w:pPr>
        <w:spacing w:before="60" w:after="100"/>
      </w:pPr>
      <w:r>
        <w:t>Project Milestone Due: Financing structure, country/currency analysis, development rationale, safeguards, sustainability and impact framework, governance, and implementation plan</w:t>
      </w:r>
    </w:p>
    <w:p w14:paraId="68C7072C" w14:textId="77777777" w:rsidR="005C0B24" w:rsidRDefault="00000000">
      <w:pPr>
        <w:pStyle w:val="Heading2"/>
      </w:pPr>
      <w:r>
        <w:t>Week 13: International Financing and Development-Bank Operations Studio</w:t>
      </w:r>
    </w:p>
    <w:p w14:paraId="366B12EE" w14:textId="77777777" w:rsidR="005C0B24" w:rsidRDefault="00000000">
      <w:pPr>
        <w:spacing w:before="80" w:after="60"/>
      </w:pPr>
      <w:r>
        <w:t>Topics: decision framing; country and currency evidence; financial appraisal; instrument choice; additionality; mobilization; debt sustainability; safeguards; procurement; implementation capacity; monitoring; governance; accountability; scenario testing; limitations; oral-defence preparation</w:t>
      </w:r>
    </w:p>
    <w:p w14:paraId="44C201A3" w14:textId="77777777" w:rsidR="005C0B24" w:rsidRDefault="00000000">
      <w:pPr>
        <w:spacing w:before="60" w:after="60"/>
      </w:pPr>
      <w:r>
        <w:t>Readings: Review current authoritative macrofinancial, market, institutional, project, environmental, social, legal, and results evidence for the approved case</w:t>
      </w:r>
    </w:p>
    <w:p w14:paraId="61C5A780" w14:textId="77777777" w:rsidR="005C0B24" w:rsidRDefault="00000000">
      <w:pPr>
        <w:spacing w:before="60" w:after="60"/>
      </w:pPr>
      <w:r>
        <w:t>Synchronous: investment/credit-committee challenge, development-impact review, red-team testing, instructor consultation, and oral-defence rehearsal</w:t>
      </w:r>
    </w:p>
    <w:p w14:paraId="76B7B8CE" w14:textId="77777777" w:rsidR="005C0B24" w:rsidRDefault="00000000">
      <w:pPr>
        <w:spacing w:before="60" w:after="100"/>
      </w:pPr>
      <w:r>
        <w:t>Asynchronous: complete strategy, model, project record, evidence portfolio, presentation, AI Usage Statement, and critical reflection</w:t>
      </w:r>
    </w:p>
    <w:p w14:paraId="0139B8D7" w14:textId="77777777" w:rsidR="005C0B24" w:rsidRDefault="00000000">
      <w:pPr>
        <w:pStyle w:val="Heading2"/>
      </w:pPr>
      <w:r>
        <w:t>Week 14: International Financing Strategies, Oral Defence, and Integration</w:t>
      </w:r>
    </w:p>
    <w:p w14:paraId="1E74C947" w14:textId="77777777" w:rsidR="005C0B24" w:rsidRDefault="00000000">
      <w:pPr>
        <w:spacing w:before="80" w:after="60"/>
      </w:pPr>
      <w:r>
        <w:t>Topics: integration of international finance, development banking, country and sovereign risk, currency, valuation, instruments, financial viability, additionality, sustainability, safeguards, operations, governance, implementation, results, accountability, and professional judgment</w:t>
      </w:r>
    </w:p>
    <w:p w14:paraId="015A72FA" w14:textId="77777777" w:rsidR="005C0B24" w:rsidRDefault="00000000">
      <w:pPr>
        <w:spacing w:before="60" w:after="60"/>
      </w:pPr>
      <w:r>
        <w:t>Readings: No new readings; review project evidence, models, decisions, assumptions, limitations, and course outcomes</w:t>
      </w:r>
    </w:p>
    <w:p w14:paraId="05F9990F" w14:textId="77777777" w:rsidR="005C0B24" w:rsidRDefault="00000000">
      <w:pPr>
        <w:spacing w:before="60" w:after="60"/>
      </w:pPr>
      <w:r>
        <w:t>Synchronous: International Financing and Development Impact Strategy presentations, individual oral defence, peer learning, and course synthesis</w:t>
      </w:r>
    </w:p>
    <w:p w14:paraId="53718112" w14:textId="77777777" w:rsidR="005C0B24" w:rsidRDefault="00000000">
      <w:pPr>
        <w:spacing w:before="60" w:after="60"/>
      </w:pPr>
      <w:r>
        <w:t>Asynchronous: submit final strategy, auditable model, operational exhibits, evidence portfolio, presentation, AI Usage Statement, and individual reflection</w:t>
      </w:r>
    </w:p>
    <w:p w14:paraId="4471681A" w14:textId="77777777" w:rsidR="005C0B24" w:rsidRDefault="00000000">
      <w:pPr>
        <w:spacing w:before="60" w:after="100"/>
      </w:pPr>
      <w:r>
        <w:t>Assessment Due: Final Project: International Financing &amp; Development Impact Strategy (40%)</w:t>
      </w:r>
    </w:p>
    <w:p w14:paraId="4DB3741A" w14:textId="77777777" w:rsidR="005C0B24" w:rsidRDefault="005C0B24"/>
    <w:p w14:paraId="7879EE4C" w14:textId="77777777" w:rsidR="005C0B24" w:rsidRDefault="00000000">
      <w:pPr>
        <w:pageBreakBefore w:val="0"/>
      </w:pPr>
      <w:r/>
    </w:p>
    <w:p w14:paraId="78B7C62D" w14:textId="77777777" w:rsidR="005C0B24" w:rsidRDefault="00000000">
      <w:pPr>
        <w:pStyle w:val="Heading1"/>
      </w:pPr>
      <w:r>
        <w:lastRenderedPageBreak/>
        <w:t>7. Detailed Assignment Descriptions</w:t>
      </w:r>
    </w:p>
    <w:p w14:paraId="3D3AB431" w14:textId="77777777" w:rsidR="005C0B24" w:rsidRDefault="00000000">
      <w:pPr>
        <w:pStyle w:val="Heading2"/>
      </w:pPr>
      <w:r>
        <w:t>7.1 International Finance &amp; Development Banking Studios - 10%</w:t>
      </w:r>
    </w:p>
    <w:p w14:paraId="101FA1C8" w14:textId="77777777" w:rsidR="005C0B24" w:rsidRDefault="00000000">
      <w:pPr>
        <w:spacing w:before="80" w:after="60"/>
      </w:pPr>
      <w:r>
        <w:t>Learning Outcomes Addressed: CLO1, CLO2, CLO3, CLO4, CLO5</w:t>
      </w:r>
    </w:p>
    <w:p w14:paraId="288E314D" w14:textId="77777777" w:rsidR="005C0B24" w:rsidRDefault="00000000">
      <w:pPr>
        <w:pStyle w:val="Heading3"/>
      </w:pPr>
      <w:r>
        <w:t>Description</w:t>
      </w:r>
    </w:p>
    <w:p w14:paraId="720620ED" w14:textId="77777777" w:rsidR="005C0B24" w:rsidRDefault="00000000">
      <w:pPr>
        <w:spacing w:before="80" w:after="80"/>
      </w:pPr>
      <w:r>
        <w:t>Graduate international-finance and development-banking capability develops through disciplined preparation, macrofinancial analysis, currency and valuation work, treasury decisions, project appraisal, institutional comparison, operational simulations, committee challenge, professional communication, and reflection.</w:t>
      </w:r>
    </w:p>
    <w:p w14:paraId="702A08A6" w14:textId="77777777" w:rsidR="005C0B24" w:rsidRDefault="00000000">
      <w:pPr>
        <w:pStyle w:val="Heading3"/>
      </w:pPr>
      <w:r>
        <w:t>Requirements</w:t>
      </w:r>
    </w:p>
    <w:p w14:paraId="179ABF85" w14:textId="77777777" w:rsidR="005C0B24" w:rsidRDefault="00000000">
      <w:pPr>
        <w:pStyle w:val="ListParagraph"/>
        <w:numPr>
          <w:ilvl w:val="0"/>
          <w:numId w:val="3"/>
        </w:numPr>
        <w:spacing w:before="80" w:after="80"/>
      </w:pPr>
      <w:r>
        <w:t>Attend at least 12 of 14 synchronous sessions and participate actively</w:t>
      </w:r>
    </w:p>
    <w:p w14:paraId="26B2047F" w14:textId="77777777" w:rsidR="005C0B24" w:rsidRDefault="00000000">
      <w:pPr>
        <w:pStyle w:val="ListParagraph"/>
        <w:numPr>
          <w:ilvl w:val="0"/>
          <w:numId w:val="3"/>
        </w:numPr>
        <w:spacing w:before="80" w:after="80"/>
      </w:pPr>
      <w:r>
        <w:t>Complete balance-of-payments, foreign-exchange, parity, country-risk, valuation, treasury, development-bank, project-cycle, debt-sustainability, safeguards, and impact studios</w:t>
      </w:r>
    </w:p>
    <w:p w14:paraId="166331F0" w14:textId="77777777" w:rsidR="005C0B24" w:rsidRDefault="00000000">
      <w:pPr>
        <w:pStyle w:val="ListParagraph"/>
        <w:numPr>
          <w:ilvl w:val="0"/>
          <w:numId w:val="3"/>
        </w:numPr>
        <w:spacing w:before="80" w:after="80"/>
      </w:pPr>
      <w:r>
        <w:t>Use traceable dated evidence, documented assumptions, reproducible calculations, sensitivity and scenario analysis, uncertainty, and limitations</w:t>
      </w:r>
    </w:p>
    <w:p w14:paraId="767F87B2" w14:textId="77777777" w:rsidR="005C0B24" w:rsidRDefault="00000000">
      <w:pPr>
        <w:pStyle w:val="ListParagraph"/>
        <w:numPr>
          <w:ilvl w:val="0"/>
          <w:numId w:val="3"/>
        </w:numPr>
        <w:spacing w:before="80" w:after="80"/>
      </w:pPr>
      <w:r>
        <w:t>Provide respectful, specific, evidence-based challenge during treasury, credit, investment, project, safeguards, procurement, and development-impact simulations</w:t>
      </w:r>
    </w:p>
    <w:p w14:paraId="1585AAC2" w14:textId="77777777" w:rsidR="005C0B24" w:rsidRDefault="00000000">
      <w:pPr>
        <w:pStyle w:val="ListParagraph"/>
        <w:numPr>
          <w:ilvl w:val="0"/>
          <w:numId w:val="3"/>
        </w:numPr>
        <w:spacing w:before="80" w:after="80"/>
      </w:pPr>
      <w:r>
        <w:t>Follow confidentiality, data, market-conduct, procurement-integrity, environmental and social, academic-integrity, citation, and AI-disclosure requirements</w:t>
      </w:r>
    </w:p>
    <w:p w14:paraId="43F487F4" w14:textId="77777777" w:rsidR="005C0B24" w:rsidRDefault="005C0B24"/>
    <w:p w14:paraId="17106D51" w14:textId="77777777" w:rsidR="005C0B24" w:rsidRDefault="00000000">
      <w:pPr>
        <w:pStyle w:val="Heading3"/>
        <w:keepNext/>
      </w:pPr>
      <w:r>
        <w:t>Participation Rubric</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5"/>
        <w:gridCol w:w="1902"/>
        <w:gridCol w:w="1918"/>
        <w:gridCol w:w="1945"/>
        <w:gridCol w:w="1704"/>
      </w:tblGrid>
      <w:tr w:rsidR="005C0B24" w14:paraId="70F3A06B"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6C3E6F73" w14:textId="77777777" w:rsidR="005C0B24" w:rsidRDefault="00000000">
            <w:pPr>
              <w:jc w:val="center"/>
            </w:pPr>
            <w:r>
              <w:rPr>
                <w:b/>
                <w:bCs/>
                <w:color w:val="FFFFFF"/>
                <w:sz w:val="20"/>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3246835E" w14:textId="77777777" w:rsidR="005C0B24" w:rsidRDefault="00000000">
            <w:pPr>
              <w:jc w:val="center"/>
            </w:pPr>
            <w:r>
              <w:rPr>
                <w:b/>
                <w:bCs/>
                <w:color w:val="FFFFFF"/>
                <w:sz w:val="20"/>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562A78E6" w14:textId="77777777" w:rsidR="005C0B24" w:rsidRDefault="00000000">
            <w:pPr>
              <w:jc w:val="center"/>
            </w:pPr>
            <w:r>
              <w:rPr>
                <w:b/>
                <w:bCs/>
                <w:color w:val="FFFFFF"/>
                <w:sz w:val="20"/>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366D01E5" w14:textId="77777777" w:rsidR="005C0B24" w:rsidRDefault="00000000">
            <w:pPr>
              <w:jc w:val="center"/>
            </w:pPr>
            <w:r>
              <w:rPr>
                <w:b/>
                <w:bCs/>
                <w:color w:val="FFFFFF"/>
                <w:sz w:val="20"/>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0EEE8F14" w14:textId="77777777" w:rsidR="005C0B24" w:rsidRDefault="00000000">
            <w:pPr>
              <w:jc w:val="center"/>
            </w:pPr>
            <w:r>
              <w:rPr>
                <w:b/>
                <w:bCs/>
                <w:color w:val="FFFFFF"/>
                <w:sz w:val="20"/>
                <w:szCs w:val="20"/>
              </w:rPr>
              <w:t>Needs Improvement (1)</w:t>
            </w:r>
          </w:p>
        </w:tc>
      </w:tr>
      <w:tr w:rsidR="005C0B24" w14:paraId="11E10414"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4D5E24E0" w14:textId="77777777" w:rsidR="005C0B24" w:rsidRDefault="00000000">
            <w:r>
              <w:rPr>
                <w:b/>
                <w:bCs/>
                <w:sz w:val="20"/>
                <w:szCs w:val="20"/>
              </w:rPr>
              <w:t>Preparation &amp; Engagement (20%)</w:t>
            </w:r>
          </w:p>
        </w:tc>
        <w:tc>
          <w:tcPr>
            <w:tcW w:w="2000" w:type="dxa"/>
            <w:tcBorders>
              <w:top w:val="single" w:sz="1" w:space="0" w:color="999999"/>
              <w:left w:val="single" w:sz="1" w:space="0" w:color="999999"/>
              <w:bottom w:val="single" w:sz="1" w:space="0" w:color="999999"/>
              <w:right w:val="single" w:sz="1" w:space="0" w:color="999999"/>
            </w:tcBorders>
          </w:tcPr>
          <w:p w14:paraId="2FB996E5" w14:textId="77777777" w:rsidR="005C0B24" w:rsidRDefault="00000000">
            <w:r>
              <w:rPr>
                <w:sz w:val="20"/>
                <w:szCs w:val="20"/>
              </w:rPr>
              <w:t>Consistently prepared; contributions materially advance collective international-finance and development-bank decisions</w:t>
            </w:r>
          </w:p>
        </w:tc>
        <w:tc>
          <w:tcPr>
            <w:tcW w:w="2000" w:type="dxa"/>
            <w:tcBorders>
              <w:top w:val="single" w:sz="1" w:space="0" w:color="999999"/>
              <w:left w:val="single" w:sz="1" w:space="0" w:color="999999"/>
              <w:bottom w:val="single" w:sz="1" w:space="0" w:color="999999"/>
              <w:right w:val="single" w:sz="1" w:space="0" w:color="999999"/>
            </w:tcBorders>
          </w:tcPr>
          <w:p w14:paraId="7DDE89C8"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5D58BF81"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30B7AFD3" w14:textId="77777777" w:rsidR="005C0B24" w:rsidRDefault="00000000">
            <w:r>
              <w:rPr>
                <w:sz w:val="20"/>
                <w:szCs w:val="20"/>
              </w:rPr>
              <w:t>Incomplete, inaccurate, weakly supported, or not decision-ready</w:t>
            </w:r>
          </w:p>
        </w:tc>
      </w:tr>
      <w:tr w:rsidR="005C0B24" w14:paraId="4062A344"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00661F41" w14:textId="77777777" w:rsidR="005C0B24" w:rsidRDefault="00000000">
            <w:r>
              <w:rPr>
                <w:b/>
                <w:bCs/>
                <w:sz w:val="20"/>
                <w:szCs w:val="20"/>
              </w:rPr>
              <w:t>Finance, Country &amp; Operations Studios (35%)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8C9A5A0" w14:textId="77777777" w:rsidR="005C0B24" w:rsidRDefault="00000000">
            <w:r>
              <w:rPr>
                <w:sz w:val="20"/>
                <w:szCs w:val="20"/>
              </w:rPr>
              <w:t>Rigorous, auditable work connects macrofinancial evidence, currency, valuation, instruments, operations, and results</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AE3E0FE"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33B276C"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7F642815" w14:textId="77777777" w:rsidR="005C0B24" w:rsidRDefault="00000000">
            <w:r>
              <w:rPr>
                <w:sz w:val="20"/>
                <w:szCs w:val="20"/>
              </w:rPr>
              <w:t>Incomplete, inaccurate, weakly supported, or not decision-ready</w:t>
            </w:r>
          </w:p>
        </w:tc>
      </w:tr>
      <w:tr w:rsidR="005C0B24" w14:paraId="74BAC214"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231E4870" w14:textId="77777777" w:rsidR="005C0B24" w:rsidRDefault="00000000">
            <w:r>
              <w:rPr>
                <w:b/>
                <w:bCs/>
                <w:sz w:val="20"/>
                <w:szCs w:val="20"/>
              </w:rPr>
              <w:t>Professional Contribution (20%)</w:t>
            </w:r>
          </w:p>
        </w:tc>
        <w:tc>
          <w:tcPr>
            <w:tcW w:w="2000" w:type="dxa"/>
            <w:tcBorders>
              <w:top w:val="single" w:sz="1" w:space="0" w:color="999999"/>
              <w:left w:val="single" w:sz="1" w:space="0" w:color="999999"/>
              <w:bottom w:val="single" w:sz="1" w:space="0" w:color="999999"/>
              <w:right w:val="single" w:sz="1" w:space="0" w:color="999999"/>
            </w:tcBorders>
          </w:tcPr>
          <w:p w14:paraId="5BCDB745" w14:textId="77777777" w:rsidR="005C0B24" w:rsidRDefault="00000000">
            <w:r>
              <w:rPr>
                <w:sz w:val="20"/>
                <w:szCs w:val="20"/>
              </w:rPr>
              <w:t>Evidence-based questions and challenge materially improve models, appraisals, safeguards, and committee judgments</w:t>
            </w:r>
          </w:p>
        </w:tc>
        <w:tc>
          <w:tcPr>
            <w:tcW w:w="2000" w:type="dxa"/>
            <w:tcBorders>
              <w:top w:val="single" w:sz="1" w:space="0" w:color="999999"/>
              <w:left w:val="single" w:sz="1" w:space="0" w:color="999999"/>
              <w:bottom w:val="single" w:sz="1" w:space="0" w:color="999999"/>
              <w:right w:val="single" w:sz="1" w:space="0" w:color="999999"/>
            </w:tcBorders>
          </w:tcPr>
          <w:p w14:paraId="7DFCAFF3"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61F6EDF8"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59142420" w14:textId="77777777" w:rsidR="005C0B24" w:rsidRDefault="00000000">
            <w:r>
              <w:rPr>
                <w:sz w:val="20"/>
                <w:szCs w:val="20"/>
              </w:rPr>
              <w:t>Incomplete, inaccurate, weakly supported, or not decision-ready</w:t>
            </w:r>
          </w:p>
        </w:tc>
      </w:tr>
      <w:tr w:rsidR="005C0B24" w14:paraId="4888DDDE"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3BB46D08" w14:textId="77777777" w:rsidR="005C0B24" w:rsidRDefault="00000000">
            <w:r>
              <w:rPr>
                <w:b/>
                <w:bCs/>
                <w:sz w:val="20"/>
                <w:szCs w:val="20"/>
              </w:rPr>
              <w:t>Responsible Evidence &amp; Conduct (25%)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3C797D0" w14:textId="77777777" w:rsidR="005C0B24" w:rsidRDefault="00000000">
            <w:r>
              <w:rPr>
                <w:sz w:val="20"/>
                <w:szCs w:val="20"/>
              </w:rPr>
              <w:t>Exemplary provenance, integrity, confidentiality, procurement ethics, reproducibility, accessibility, and AI transparency</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B17BA1C" w14:textId="77777777" w:rsidR="005C0B24" w:rsidRDefault="00000000">
            <w:r>
              <w:rPr>
                <w:sz w:val="20"/>
                <w:szCs w:val="20"/>
              </w:rPr>
              <w:t>Strong, relevant work with minor gaps in evidence, integration, or precision</w:t>
            </w:r>
            <w:proofErr w:type="gramStart"/>
            <w:r>
              <w:rPr>
                <w:sz w:val="20"/>
                <w:szCs w:val="20"/>
              </w:rPr>
            </w:r>
            <w:proofErr w:type="gramEnd"/>
            <w:r>
              <w:rPr>
                <w:sz w:val="20"/>
                <w:szCs w:val="20"/>
              </w:rPr>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084BC32E"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5D8B6AB1" w14:textId="77777777" w:rsidR="005C0B24" w:rsidRDefault="00000000">
            <w:proofErr w:type="gramStart"/>
            <w:r>
              <w:rPr>
                <w:sz w:val="20"/>
                <w:szCs w:val="20"/>
              </w:rPr>
              <w:t>Incomplete, inaccurate, weakly supported, or not decision-ready</w:t>
            </w:r>
            <w:proofErr w:type="gramEnd"/>
            <w:r>
              <w:rPr>
                <w:sz w:val="20"/>
                <w:szCs w:val="20"/>
              </w:rPr>
            </w:r>
          </w:p>
        </w:tc>
      </w:tr>
    </w:tbl>
    <w:p w14:paraId="45B4781F" w14:textId="77777777" w:rsidR="005C0B24" w:rsidRDefault="005C0B24"/>
    <w:p w14:paraId="37711B5F" w14:textId="77777777" w:rsidR="005C0B24" w:rsidRDefault="00000000">
      <w:pPr>
        <w:pageBreakBefore w:val="0"/>
      </w:pPr>
      <w:r/>
    </w:p>
    <w:p w14:paraId="0933EAC0" w14:textId="77777777" w:rsidR="005C0B24" w:rsidRDefault="00000000">
      <w:pPr>
        <w:pStyle w:val="Heading2"/>
      </w:pPr>
      <w:r>
        <w:t>7.2 Country, Currency &amp; Capital-Flow Diagnostic (Formative Assessment 1) - 15%</w:t>
      </w:r>
    </w:p>
    <w:p w14:paraId="27C1760F" w14:textId="77777777" w:rsidR="005C0B24" w:rsidRDefault="00000000">
      <w:pPr>
        <w:spacing w:before="80" w:after="60"/>
      </w:pPr>
      <w:r>
        <w:t>Learning Outcomes Addressed: CLO1, CLO2, CLO3</w:t>
      </w:r>
    </w:p>
    <w:p w14:paraId="43DADAAA" w14:textId="77777777" w:rsidR="005C0B24" w:rsidRDefault="00000000">
      <w:pPr>
        <w:spacing w:before="60" w:after="60"/>
      </w:pPr>
      <w:r>
        <w:t>Due Date: Week 4</w:t>
      </w:r>
    </w:p>
    <w:p w14:paraId="3E0394F5" w14:textId="77777777" w:rsidR="005C0B24" w:rsidRDefault="00000000">
      <w:pPr>
        <w:pStyle w:val="Heading3"/>
      </w:pPr>
      <w:r>
        <w:t>Description</w:t>
      </w:r>
    </w:p>
    <w:p w14:paraId="2A7655BE" w14:textId="77777777" w:rsidR="005C0B24" w:rsidRDefault="00000000">
      <w:pPr>
        <w:spacing w:before="80" w:after="80"/>
      </w:pPr>
      <w:r>
        <w:t>Students diagnose an approved country's external financial position and a connected multinational, investor, sovereign, or development-finance decision.</w:t>
      </w:r>
    </w:p>
    <w:p w14:paraId="18C43297" w14:textId="77777777" w:rsidR="005C0B24" w:rsidRDefault="00000000">
      <w:pPr>
        <w:pStyle w:val="Heading3"/>
      </w:pPr>
      <w:r>
        <w:t>Requirements</w:t>
      </w:r>
    </w:p>
    <w:p w14:paraId="39D59928" w14:textId="77777777" w:rsidR="005C0B24" w:rsidRDefault="00000000">
      <w:pPr>
        <w:pStyle w:val="ListParagraph"/>
        <w:numPr>
          <w:ilvl w:val="0"/>
          <w:numId w:val="4"/>
        </w:numPr>
        <w:spacing w:before="80" w:after="80"/>
      </w:pPr>
      <w:r>
        <w:t>Define the decision, country context, affected parties, time horizon, currencies, constraints, and evidence hierarchy</w:t>
      </w:r>
    </w:p>
    <w:p w14:paraId="52616640" w14:textId="77777777" w:rsidR="005C0B24" w:rsidRDefault="00000000">
      <w:pPr>
        <w:pStyle w:val="ListParagraph"/>
        <w:numPr>
          <w:ilvl w:val="0"/>
          <w:numId w:val="4"/>
        </w:numPr>
        <w:spacing w:before="80" w:after="80"/>
      </w:pPr>
      <w:r>
        <w:t>Analyze balance of payments, international investment position, reserves, capital flows, exchange-rate regime, inflation, rates, and external adjustment</w:t>
      </w:r>
    </w:p>
    <w:p w14:paraId="7D9C9377" w14:textId="77777777" w:rsidR="005C0B24" w:rsidRDefault="00000000">
      <w:pPr>
        <w:pStyle w:val="ListParagraph"/>
        <w:numPr>
          <w:ilvl w:val="0"/>
          <w:numId w:val="4"/>
        </w:numPr>
        <w:spacing w:before="80" w:after="80"/>
      </w:pPr>
      <w:r>
        <w:t>Evaluate currency, convertibility, transfer, sovereign, political, institutional, debt, and market risks using scenarios and indicators</w:t>
      </w:r>
    </w:p>
    <w:p w14:paraId="7AD243D9" w14:textId="77777777" w:rsidR="005C0B24" w:rsidRDefault="00000000">
      <w:pPr>
        <w:pStyle w:val="ListParagraph"/>
        <w:numPr>
          <w:ilvl w:val="0"/>
          <w:numId w:val="4"/>
        </w:numPr>
        <w:spacing w:before="80" w:after="80"/>
      </w:pPr>
      <w:r>
        <w:t>Connect macrofinancial conditions to a multinational, investor, treasury, sovereign, or development-finance choice</w:t>
      </w:r>
    </w:p>
    <w:p w14:paraId="6F81D357" w14:textId="77777777" w:rsidR="005C0B24" w:rsidRDefault="00000000">
      <w:pPr>
        <w:pStyle w:val="ListParagraph"/>
        <w:numPr>
          <w:ilvl w:val="0"/>
          <w:numId w:val="4"/>
        </w:numPr>
        <w:spacing w:before="80" w:after="80"/>
      </w:pPr>
      <w:r>
        <w:t>Recommend monitoring priorities and document sources, calculations, assumptions, data gaps, ethical implications, limitations, and a complete AI Usage Statement</w:t>
      </w:r>
    </w:p>
    <w:p w14:paraId="6295A604" w14:textId="77777777" w:rsidR="005C0B24" w:rsidRDefault="00000000">
      <w:pPr>
        <w:spacing w:before="80" w:after="60"/>
      </w:pPr>
      <w:r>
        <w:t>Total Length: 1,500-2,000-word diagnostic plus external-accounts, currency, capital-flow, country-risk, scenario, and source exhibits</w:t>
      </w:r>
    </w:p>
    <w:p w14:paraId="220ED992" w14:textId="77777777" w:rsidR="005C0B24" w:rsidRDefault="00000000">
      <w:pPr>
        <w:spacing w:before="60" w:after="60"/>
      </w:pPr>
      <w:r>
        <w:t>Format: APA 7 professional brief with auditable exhibits; submit PDF and editable source files through the LMS</w:t>
      </w:r>
    </w:p>
    <w:p w14:paraId="2EBD8205" w14:textId="77777777" w:rsidR="005C0B24" w:rsidRDefault="005C0B24"/>
    <w:p w14:paraId="3731B456" w14:textId="77777777" w:rsidR="005C0B24" w:rsidRDefault="00000000">
      <w:pPr>
        <w:pStyle w:val="Heading3"/>
        <w:keepNext/>
      </w:pPr>
      <w:r>
        <w:t>Country, Currency &amp; Capital-Flow Diagnostic Rubric</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2"/>
        <w:gridCol w:w="1935"/>
        <w:gridCol w:w="1904"/>
        <w:gridCol w:w="1927"/>
        <w:gridCol w:w="1706"/>
      </w:tblGrid>
      <w:tr w:rsidR="005C0B24" w14:paraId="6A0F7316"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08E01BC4" w14:textId="77777777" w:rsidR="005C0B24" w:rsidRDefault="00000000">
            <w:pPr>
              <w:jc w:val="center"/>
            </w:pPr>
            <w:r>
              <w:rPr>
                <w:b/>
                <w:bCs/>
                <w:color w:val="FFFFFF"/>
                <w:sz w:val="17"/>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1895DD7C" w14:textId="77777777" w:rsidR="005C0B24" w:rsidRDefault="00000000">
            <w:pPr>
              <w:jc w:val="center"/>
            </w:pPr>
            <w:r>
              <w:rPr>
                <w:b/>
                <w:bCs/>
                <w:color w:val="FFFFFF"/>
                <w:sz w:val="17"/>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485EA920" w14:textId="77777777" w:rsidR="005C0B24" w:rsidRDefault="00000000">
            <w:pPr>
              <w:jc w:val="center"/>
            </w:pPr>
            <w:r>
              <w:rPr>
                <w:b/>
                <w:bCs/>
                <w:color w:val="FFFFFF"/>
                <w:sz w:val="17"/>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728B0A9C" w14:textId="77777777" w:rsidR="005C0B24" w:rsidRDefault="00000000">
            <w:pPr>
              <w:jc w:val="center"/>
            </w:pPr>
            <w:r>
              <w:rPr>
                <w:b/>
                <w:bCs/>
                <w:color w:val="FFFFFF"/>
                <w:sz w:val="17"/>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5B2308A4" w14:textId="77777777" w:rsidR="005C0B24" w:rsidRDefault="00000000">
            <w:pPr>
              <w:jc w:val="center"/>
            </w:pPr>
            <w:r>
              <w:rPr>
                <w:b/>
                <w:bCs/>
                <w:color w:val="FFFFFF"/>
                <w:sz w:val="17"/>
                <w:szCs w:val="20"/>
              </w:rPr>
              <w:t>Needs Improvement (1)</w:t>
            </w:r>
          </w:p>
        </w:tc>
      </w:tr>
      <w:tr w:rsidR="005C0B24" w14:paraId="08B5DD11"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6DBF0854" w14:textId="77777777" w:rsidR="005C0B24" w:rsidRDefault="00000000">
            <w:r>
              <w:rPr>
                <w:b/>
                <w:bCs/>
                <w:sz w:val="17"/>
                <w:szCs w:val="20"/>
              </w:rPr>
              <w:t>External Position &amp; Evidence (25%)</w:t>
            </w:r>
          </w:p>
        </w:tc>
        <w:tc>
          <w:tcPr>
            <w:tcW w:w="2000" w:type="dxa"/>
            <w:tcBorders>
              <w:top w:val="single" w:sz="1" w:space="0" w:color="999999"/>
              <w:left w:val="single" w:sz="1" w:space="0" w:color="999999"/>
              <w:bottom w:val="single" w:sz="1" w:space="0" w:color="999999"/>
              <w:right w:val="single" w:sz="1" w:space="0" w:color="999999"/>
            </w:tcBorders>
          </w:tcPr>
          <w:p w14:paraId="54AF6996" w14:textId="77777777" w:rsidR="005C0B24" w:rsidRDefault="00000000">
            <w:r>
              <w:rPr>
                <w:sz w:val="17"/>
                <w:szCs w:val="20"/>
              </w:rPr>
              <w:t>Balance of payments, IIP, reserves, capital flows, regime, macrofinancial context, and data limits are precise</w:t>
            </w:r>
          </w:p>
        </w:tc>
        <w:tc>
          <w:tcPr>
            <w:tcW w:w="2000" w:type="dxa"/>
            <w:tcBorders>
              <w:top w:val="single" w:sz="1" w:space="0" w:color="999999"/>
              <w:left w:val="single" w:sz="1" w:space="0" w:color="999999"/>
              <w:bottom w:val="single" w:sz="1" w:space="0" w:color="999999"/>
              <w:right w:val="single" w:sz="1" w:space="0" w:color="999999"/>
            </w:tcBorders>
          </w:tcPr>
          <w:p w14:paraId="68728F0F"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0DE71E0D"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767885E7" w14:textId="77777777" w:rsidR="005C0B24" w:rsidRDefault="00000000">
            <w:r>
              <w:rPr>
                <w:sz w:val="17"/>
                <w:szCs w:val="20"/>
              </w:rPr>
              <w:t>Incomplete, inaccurate, weakly supported, or not decision-ready</w:t>
            </w:r>
          </w:p>
        </w:tc>
      </w:tr>
      <w:tr w:rsidR="005C0B24" w14:paraId="793F32DC"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43EE8940" w14:textId="77777777" w:rsidR="005C0B24" w:rsidRDefault="00000000">
            <w:r>
              <w:rPr>
                <w:b/>
                <w:bCs/>
                <w:sz w:val="17"/>
                <w:szCs w:val="20"/>
              </w:rPr>
              <w:t>Currency, Sovereign &amp; Country Risk (25%)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1143F4E" w14:textId="77777777" w:rsidR="005C0B24" w:rsidRDefault="00000000">
            <w:r>
              <w:rPr>
                <w:sz w:val="17"/>
                <w:szCs w:val="20"/>
              </w:rPr>
              <w:t>Currency, transfer, sovereign, political, institutional, debt, and market risks are integrated and scenario-tested</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0CD721E"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49FE07D"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5473CAFD" w14:textId="77777777" w:rsidR="005C0B24" w:rsidRDefault="00000000">
            <w:r>
              <w:rPr>
                <w:sz w:val="17"/>
                <w:szCs w:val="20"/>
              </w:rPr>
              <w:t>Incomplete, inaccurate, weakly supported, or not decision-ready</w:t>
            </w:r>
          </w:p>
        </w:tc>
      </w:tr>
      <w:tr w:rsidR="005C0B24" w14:paraId="1839EA66"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088F11CB" w14:textId="77777777" w:rsidR="005C0B24" w:rsidRDefault="00000000">
            <w:r>
              <w:rPr>
                <w:b/>
                <w:bCs/>
                <w:sz w:val="17"/>
                <w:szCs w:val="20"/>
              </w:rPr>
              <w:t>Decision Linkage &amp; Alternatives (20%)</w:t>
            </w:r>
          </w:p>
        </w:tc>
        <w:tc>
          <w:tcPr>
            <w:tcW w:w="2000" w:type="dxa"/>
            <w:tcBorders>
              <w:top w:val="single" w:sz="1" w:space="0" w:color="999999"/>
              <w:left w:val="single" w:sz="1" w:space="0" w:color="999999"/>
              <w:bottom w:val="single" w:sz="1" w:space="0" w:color="999999"/>
              <w:right w:val="single" w:sz="1" w:space="0" w:color="999999"/>
            </w:tcBorders>
          </w:tcPr>
          <w:p w14:paraId="73AA5390" w14:textId="77777777" w:rsidR="005C0B24" w:rsidRDefault="00000000">
            <w:r>
              <w:rPr>
                <w:sz w:val="17"/>
                <w:szCs w:val="20"/>
              </w:rPr>
              <w:t>Country conditions are convincingly connected to multinational, investor, treasury, sovereign, or development-finance choices</w:t>
            </w:r>
          </w:p>
        </w:tc>
        <w:tc>
          <w:tcPr>
            <w:tcW w:w="2000" w:type="dxa"/>
            <w:tcBorders>
              <w:top w:val="single" w:sz="1" w:space="0" w:color="999999"/>
              <w:left w:val="single" w:sz="1" w:space="0" w:color="999999"/>
              <w:bottom w:val="single" w:sz="1" w:space="0" w:color="999999"/>
              <w:right w:val="single" w:sz="1" w:space="0" w:color="999999"/>
            </w:tcBorders>
          </w:tcPr>
          <w:p w14:paraId="6854ABB4"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134C03EA"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663EF495" w14:textId="77777777" w:rsidR="005C0B24" w:rsidRDefault="00000000">
            <w:r>
              <w:rPr>
                <w:sz w:val="17"/>
                <w:szCs w:val="20"/>
              </w:rPr>
              <w:t>Incomplete, inaccurate, weakly supported, or not decision-ready</w:t>
            </w:r>
          </w:p>
        </w:tc>
      </w:tr>
      <w:tr w:rsidR="005C0B24" w14:paraId="4CB26EFB"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00E1FE9C" w14:textId="77777777" w:rsidR="005C0B24" w:rsidRDefault="00000000">
            <w:r>
              <w:rPr>
                <w:b/>
                <w:bCs/>
                <w:sz w:val="17"/>
                <w:szCs w:val="20"/>
              </w:rPr>
              <w:t>Monitoring, Ethics &amp; Limitations (15%)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8F158F2" w14:textId="77777777" w:rsidR="005C0B24" w:rsidRDefault="00000000">
            <w:r>
              <w:rPr>
                <w:sz w:val="17"/>
                <w:szCs w:val="20"/>
              </w:rPr>
              <w:t>Indicators, affected parties, ethical implications, evidence gaps, uncertainty, and limitations are explicit</w:t>
            </w:r>
            <w:proofErr w:type="gramStart"/>
            <w:r>
              <w:rPr>
                <w:sz w:val="17"/>
                <w:szCs w:val="20"/>
              </w:rPr>
            </w:r>
            <w:proofErr w:type="gramEnd"/>
            <w:r>
              <w:rPr>
                <w:sz w:val="17"/>
                <w:szCs w:val="20"/>
              </w:rPr>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5DEE378C"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6D5D000"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2399572F" w14:textId="77777777" w:rsidR="005C0B24" w:rsidRDefault="00000000">
            <w:r>
              <w:rPr>
                <w:sz w:val="17"/>
                <w:szCs w:val="20"/>
              </w:rPr>
              <w:t>Incomplete, inaccurate, weakly supported, or not decision-ready</w:t>
            </w:r>
            <w:proofErr w:type="gramStart"/>
            <w:r>
              <w:rPr>
                <w:sz w:val="17"/>
                <w:szCs w:val="20"/>
              </w:rPr>
            </w:r>
            <w:proofErr w:type="gramEnd"/>
            <w:r>
              <w:rPr>
                <w:sz w:val="17"/>
                <w:szCs w:val="20"/>
              </w:rPr>
            </w:r>
          </w:p>
        </w:tc>
      </w:tr>
      <w:tr w:rsidR="005C0B24" w14:paraId="6702BD48"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745862E8" w14:textId="77777777" w:rsidR="005C0B24" w:rsidRDefault="00000000">
            <w:r>
              <w:rPr>
                <w:b/>
                <w:bCs/>
                <w:sz w:val="17"/>
                <w:szCs w:val="20"/>
              </w:rPr>
              <w:t>Communication, Evidence &amp; AI Transparency (15%)</w:t>
            </w:r>
          </w:p>
        </w:tc>
        <w:tc>
          <w:tcPr>
            <w:tcW w:w="2000" w:type="dxa"/>
            <w:tcBorders>
              <w:top w:val="single" w:sz="1" w:space="0" w:color="999999"/>
              <w:left w:val="single" w:sz="1" w:space="0" w:color="999999"/>
              <w:bottom w:val="single" w:sz="1" w:space="0" w:color="999999"/>
              <w:right w:val="single" w:sz="1" w:space="0" w:color="999999"/>
            </w:tcBorders>
          </w:tcPr>
          <w:p w14:paraId="7DD7424F" w14:textId="77777777" w:rsidR="005C0B24" w:rsidRDefault="00000000">
            <w:r>
              <w:rPr>
                <w:sz w:val="17"/>
                <w:szCs w:val="20"/>
              </w:rPr>
              <w:t>Diagnostic and exhibits are concise, calibrated, reproducible, accessible, and fully documented</w:t>
            </w:r>
          </w:p>
        </w:tc>
        <w:tc>
          <w:tcPr>
            <w:tcW w:w="2000" w:type="dxa"/>
            <w:tcBorders>
              <w:top w:val="single" w:sz="1" w:space="0" w:color="999999"/>
              <w:left w:val="single" w:sz="1" w:space="0" w:color="999999"/>
              <w:bottom w:val="single" w:sz="1" w:space="0" w:color="999999"/>
              <w:right w:val="single" w:sz="1" w:space="0" w:color="999999"/>
            </w:tcBorders>
          </w:tcPr>
          <w:p w14:paraId="4617BD6C"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17CAA14B"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539A718B" w14:textId="77777777" w:rsidR="005C0B24" w:rsidRDefault="00000000">
            <w:r>
              <w:rPr>
                <w:sz w:val="17"/>
                <w:szCs w:val="20"/>
              </w:rPr>
              <w:t>Incomplete, inaccurate, weakly supported, or not decision-ready</w:t>
            </w:r>
          </w:p>
        </w:tc>
      </w:tr>
    </w:tbl>
    <w:p w14:paraId="6F24608D" w14:textId="77777777" w:rsidR="005C0B24" w:rsidRDefault="005C0B24"/>
    <w:p w14:paraId="6198E28E" w14:textId="77777777" w:rsidR="005C0B24" w:rsidRDefault="00000000">
      <w:r>
        <w:br w:type="page"/>
      </w:r>
    </w:p>
    <w:p w14:paraId="413839A0" w14:textId="77777777" w:rsidR="005C0B24" w:rsidRDefault="00000000">
      <w:pPr>
        <w:pStyle w:val="Heading2"/>
      </w:pPr>
      <w:r>
        <w:t>7.3 Midterm Examination (Summative Assessment 1) - 20%</w:t>
      </w:r>
    </w:p>
    <w:p w14:paraId="25079960" w14:textId="77777777" w:rsidR="005C0B24" w:rsidRDefault="00000000">
      <w:pPr>
        <w:spacing w:before="80" w:after="60"/>
      </w:pPr>
      <w:r>
        <w:t>Learning Outcomes Addressed: CLO1, CLO2, CLO3, CLO4</w:t>
      </w:r>
    </w:p>
    <w:p w14:paraId="2F93C115" w14:textId="77777777" w:rsidR="005C0B24" w:rsidRDefault="00000000">
      <w:pPr>
        <w:spacing w:before="60" w:after="60"/>
      </w:pPr>
      <w:r>
        <w:t>Due Date: Week 7</w:t>
      </w:r>
    </w:p>
    <w:p w14:paraId="526307DD" w14:textId="77777777" w:rsidR="005C0B24" w:rsidRDefault="00000000">
      <w:pPr>
        <w:pStyle w:val="Heading3"/>
      </w:pPr>
      <w:r>
        <w:t>Description</w:t>
      </w:r>
    </w:p>
    <w:p w14:paraId="3C317CD5" w14:textId="77777777" w:rsidR="005C0B24" w:rsidRDefault="00000000">
      <w:pPr>
        <w:spacing w:before="80" w:after="80"/>
      </w:pPr>
      <w:r>
        <w:t>The individual examination assesses independent mastery and integration of international monetary architecture, balance of payments, exchange rates, parity, capital flows, country and sovereign risk, multinational valuation, global funding, treasury, trade finance, and exposure management.</w:t>
      </w:r>
    </w:p>
    <w:p w14:paraId="518EBF29" w14:textId="77777777" w:rsidR="005C0B24" w:rsidRDefault="00000000">
      <w:pPr>
        <w:pStyle w:val="Heading3"/>
      </w:pPr>
      <w:r>
        <w:t>Requirements</w:t>
      </w:r>
    </w:p>
    <w:p w14:paraId="6C48622E" w14:textId="77777777" w:rsidR="005C0B24" w:rsidRDefault="00000000">
      <w:pPr>
        <w:pStyle w:val="ListParagraph"/>
        <w:numPr>
          <w:ilvl w:val="0"/>
          <w:numId w:val="5"/>
        </w:numPr>
        <w:spacing w:before="80" w:after="80"/>
      </w:pPr>
      <w:r>
        <w:t>Interpret balance-of-payments, international-investment-position, reserve, capital-flow, and macrofinancial evidence</w:t>
      </w:r>
    </w:p>
    <w:p w14:paraId="2FEB7A32" w14:textId="77777777" w:rsidR="005C0B24" w:rsidRDefault="00000000">
      <w:pPr>
        <w:pStyle w:val="ListParagraph"/>
        <w:numPr>
          <w:ilvl w:val="0"/>
          <w:numId w:val="5"/>
        </w:numPr>
        <w:spacing w:before="80" w:after="80"/>
      </w:pPr>
      <w:r>
        <w:t>Calculate and evaluate spot, forward, cross, parity, arbitrage-boundary, and exchange-rate relationships</w:t>
      </w:r>
    </w:p>
    <w:p w14:paraId="77BB90D3" w14:textId="77777777" w:rsidR="005C0B24" w:rsidRDefault="00000000">
      <w:pPr>
        <w:pStyle w:val="ListParagraph"/>
        <w:numPr>
          <w:ilvl w:val="0"/>
          <w:numId w:val="5"/>
        </w:numPr>
        <w:spacing w:before="80" w:after="80"/>
      </w:pPr>
      <w:r>
        <w:t>Assess country, sovereign, currency, transfer, political, and institutional risk under alternative scenarios</w:t>
      </w:r>
    </w:p>
    <w:p w14:paraId="71AFE57C" w14:textId="77777777" w:rsidR="005C0B24" w:rsidRDefault="00000000">
      <w:pPr>
        <w:pStyle w:val="ListParagraph"/>
        <w:numPr>
          <w:ilvl w:val="0"/>
          <w:numId w:val="5"/>
        </w:numPr>
        <w:spacing w:before="80" w:after="80"/>
      </w:pPr>
      <w:r>
        <w:t>Build or critique multinational capital-budgeting, international cost-of-capital, funding, and treasury decisions</w:t>
      </w:r>
    </w:p>
    <w:p w14:paraId="0403C98D" w14:textId="77777777" w:rsidR="005C0B24" w:rsidRDefault="00000000">
      <w:pPr>
        <w:pStyle w:val="ListParagraph"/>
        <w:numPr>
          <w:ilvl w:val="0"/>
          <w:numId w:val="5"/>
        </w:numPr>
        <w:spacing w:before="80" w:after="80"/>
      </w:pPr>
      <w:r>
        <w:t>Recommend and defend a proportionate international-finance decision with evidence, calculations, uncertainty, governance, and limitations</w:t>
      </w:r>
    </w:p>
    <w:p w14:paraId="2057D14F" w14:textId="77777777" w:rsidR="005C0B24" w:rsidRDefault="00000000">
      <w:pPr>
        <w:spacing w:before="80" w:after="60"/>
      </w:pPr>
      <w:r>
        <w:t>Format: 120-minute examination with applied short answers, evidence interpretation, analytical work, and an integrated decision case</w:t>
      </w:r>
    </w:p>
    <w:p w14:paraId="6405882F" w14:textId="77777777" w:rsidR="005C0B24" w:rsidRDefault="00000000">
      <w:pPr>
        <w:spacing w:before="60" w:after="60"/>
      </w:pPr>
      <w:r>
        <w:t>Conditions: Individual work; approved reference sheet and calculator permitted; generative AI not permitted</w:t>
      </w:r>
    </w:p>
    <w:p w14:paraId="43464DAA" w14:textId="77777777" w:rsidR="005C0B24" w:rsidRDefault="005C0B24"/>
    <w:p w14:paraId="7B1E3D62" w14:textId="77777777" w:rsidR="005C0B24" w:rsidRDefault="00000000">
      <w:pPr>
        <w:pStyle w:val="Heading3"/>
        <w:keepNext/>
      </w:pPr>
      <w:r>
        <w:t>Midterm Examination Rubric</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0"/>
        <w:gridCol w:w="1838"/>
        <w:gridCol w:w="1839"/>
        <w:gridCol w:w="1839"/>
        <w:gridCol w:w="1698"/>
      </w:tblGrid>
      <w:tr w:rsidR="005C0B24" w14:paraId="74AE4B33"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5225D582" w14:textId="77777777" w:rsidR="005C0B24" w:rsidRDefault="00000000">
            <w:pPr>
              <w:jc w:val="center"/>
            </w:pPr>
            <w:r>
              <w:rPr>
                <w:b/>
                <w:bCs/>
                <w:color w:val="FFFFFF"/>
                <w:sz w:val="20"/>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107CAE47" w14:textId="77777777" w:rsidR="005C0B24" w:rsidRDefault="00000000">
            <w:pPr>
              <w:jc w:val="center"/>
            </w:pPr>
            <w:r>
              <w:rPr>
                <w:b/>
                <w:bCs/>
                <w:color w:val="FFFFFF"/>
                <w:sz w:val="20"/>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1A36894D" w14:textId="77777777" w:rsidR="005C0B24" w:rsidRDefault="00000000">
            <w:pPr>
              <w:jc w:val="center"/>
            </w:pPr>
            <w:r>
              <w:rPr>
                <w:b/>
                <w:bCs/>
                <w:color w:val="FFFFFF"/>
                <w:sz w:val="20"/>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393E0898" w14:textId="77777777" w:rsidR="005C0B24" w:rsidRDefault="00000000">
            <w:pPr>
              <w:jc w:val="center"/>
            </w:pPr>
            <w:r>
              <w:rPr>
                <w:b/>
                <w:bCs/>
                <w:color w:val="FFFFFF"/>
                <w:sz w:val="20"/>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1BDC7CD9" w14:textId="77777777" w:rsidR="005C0B24" w:rsidRDefault="00000000">
            <w:pPr>
              <w:jc w:val="center"/>
            </w:pPr>
            <w:r>
              <w:rPr>
                <w:b/>
                <w:bCs/>
                <w:color w:val="FFFFFF"/>
                <w:sz w:val="20"/>
                <w:szCs w:val="20"/>
              </w:rPr>
              <w:t>Needs Improvement (1)</w:t>
            </w:r>
          </w:p>
        </w:tc>
      </w:tr>
      <w:tr w:rsidR="005C0B24" w14:paraId="621C80C7"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5D87D079" w14:textId="77777777" w:rsidR="005C0B24" w:rsidRDefault="00000000">
            <w:r>
              <w:rPr>
                <w:b/>
                <w:bCs/>
                <w:sz w:val="20"/>
                <w:szCs w:val="20"/>
              </w:rPr>
              <w:t>Monetary System, BOP &amp; Capital Flows (20%)</w:t>
            </w:r>
          </w:p>
        </w:tc>
        <w:tc>
          <w:tcPr>
            <w:tcW w:w="2000" w:type="dxa"/>
            <w:tcBorders>
              <w:top w:val="single" w:sz="1" w:space="0" w:color="999999"/>
              <w:left w:val="single" w:sz="1" w:space="0" w:color="999999"/>
              <w:bottom w:val="single" w:sz="1" w:space="0" w:color="999999"/>
              <w:right w:val="single" w:sz="1" w:space="0" w:color="999999"/>
            </w:tcBorders>
          </w:tcPr>
          <w:p w14:paraId="3E558FFE" w14:textId="77777777" w:rsidR="005C0B24" w:rsidRDefault="00000000">
            <w:r>
              <w:rPr>
                <w:sz w:val="20"/>
                <w:szCs w:val="20"/>
              </w:rPr>
              <w:t>Architecture, external accounts, reserves, capital flows, adjustment, and evidence are accurately interpreted</w:t>
            </w:r>
          </w:p>
        </w:tc>
        <w:tc>
          <w:tcPr>
            <w:tcW w:w="2000" w:type="dxa"/>
            <w:tcBorders>
              <w:top w:val="single" w:sz="1" w:space="0" w:color="999999"/>
              <w:left w:val="single" w:sz="1" w:space="0" w:color="999999"/>
              <w:bottom w:val="single" w:sz="1" w:space="0" w:color="999999"/>
              <w:right w:val="single" w:sz="1" w:space="0" w:color="999999"/>
            </w:tcBorders>
          </w:tcPr>
          <w:p w14:paraId="7381DB89"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57D015EC"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64E5E203" w14:textId="77777777" w:rsidR="005C0B24" w:rsidRDefault="00000000">
            <w:r>
              <w:rPr>
                <w:sz w:val="20"/>
                <w:szCs w:val="20"/>
              </w:rPr>
              <w:t>Incomplete, inaccurate, weakly supported, or not decision-ready</w:t>
            </w:r>
          </w:p>
        </w:tc>
      </w:tr>
      <w:tr w:rsidR="005C0B24" w14:paraId="5B700B2E"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7A853D83" w14:textId="77777777" w:rsidR="005C0B24" w:rsidRDefault="00000000">
            <w:r>
              <w:rPr>
                <w:b/>
                <w:bCs/>
                <w:sz w:val="20"/>
                <w:szCs w:val="20"/>
              </w:rPr>
              <w:t>FX, Parity &amp; Analytical Accuracy (25%)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495C805" w14:textId="77777777" w:rsidR="005C0B24" w:rsidRDefault="00000000">
            <w:r>
              <w:rPr>
                <w:sz w:val="20"/>
                <w:szCs w:val="20"/>
              </w:rPr>
              <w:t>Spot, forward, cross, parity, arbitrage, and exchange-rate work is correct and clearly explained</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127445A"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A76170C"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5F5F05D8" w14:textId="77777777" w:rsidR="005C0B24" w:rsidRDefault="00000000">
            <w:r>
              <w:rPr>
                <w:sz w:val="20"/>
                <w:szCs w:val="20"/>
              </w:rPr>
              <w:t>Incomplete, inaccurate, weakly supported, or not decision-ready</w:t>
            </w:r>
          </w:p>
        </w:tc>
      </w:tr>
      <w:tr w:rsidR="005C0B24" w14:paraId="76FE8539"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7469CA23" w14:textId="77777777" w:rsidR="005C0B24" w:rsidRDefault="00000000">
            <w:r>
              <w:rPr>
                <w:b/>
                <w:bCs/>
                <w:sz w:val="20"/>
                <w:szCs w:val="20"/>
              </w:rPr>
              <w:t>Country, Sovereign &amp; Currency Risk (20%)</w:t>
            </w:r>
          </w:p>
        </w:tc>
        <w:tc>
          <w:tcPr>
            <w:tcW w:w="2000" w:type="dxa"/>
            <w:tcBorders>
              <w:top w:val="single" w:sz="1" w:space="0" w:color="999999"/>
              <w:left w:val="single" w:sz="1" w:space="0" w:color="999999"/>
              <w:bottom w:val="single" w:sz="1" w:space="0" w:color="999999"/>
              <w:right w:val="single" w:sz="1" w:space="0" w:color="999999"/>
            </w:tcBorders>
          </w:tcPr>
          <w:p w14:paraId="197C862C" w14:textId="77777777" w:rsidR="005C0B24" w:rsidRDefault="00000000">
            <w:r>
              <w:rPr>
                <w:sz w:val="20"/>
                <w:szCs w:val="20"/>
              </w:rPr>
              <w:t>Material risks, indicators, scenarios, transmission channels, and uncertainty are rigorously evaluated</w:t>
            </w:r>
          </w:p>
        </w:tc>
        <w:tc>
          <w:tcPr>
            <w:tcW w:w="2000" w:type="dxa"/>
            <w:tcBorders>
              <w:top w:val="single" w:sz="1" w:space="0" w:color="999999"/>
              <w:left w:val="single" w:sz="1" w:space="0" w:color="999999"/>
              <w:bottom w:val="single" w:sz="1" w:space="0" w:color="999999"/>
              <w:right w:val="single" w:sz="1" w:space="0" w:color="999999"/>
            </w:tcBorders>
          </w:tcPr>
          <w:p w14:paraId="5933F75C"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39A57929"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1C25F396" w14:textId="77777777" w:rsidR="005C0B24" w:rsidRDefault="00000000">
            <w:r>
              <w:rPr>
                <w:sz w:val="20"/>
                <w:szCs w:val="20"/>
              </w:rPr>
              <w:t>Incomplete, inaccurate, weakly supported, or not decision-ready</w:t>
            </w:r>
          </w:p>
        </w:tc>
      </w:tr>
      <w:tr w:rsidR="005C0B24" w14:paraId="49C5AD5A"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1D49E3B4" w14:textId="77777777" w:rsidR="005C0B24" w:rsidRDefault="00000000">
            <w:r>
              <w:rPr>
                <w:b/>
                <w:bCs/>
                <w:sz w:val="20"/>
                <w:szCs w:val="20"/>
              </w:rPr>
              <w:t>Valuation, Funding &amp; Treasury (20%)</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6B13DF1" w14:textId="77777777" w:rsidR="005C0B24" w:rsidRDefault="00000000">
            <w:r>
              <w:rPr>
                <w:sz w:val="20"/>
                <w:szCs w:val="20"/>
              </w:rPr>
              <w:t>Cross-border cash flows, cost of capital, funding, trade finance, exposure, and hedging are integrated</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48A22051"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0EBE8E22"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3F5F6580" w14:textId="77777777" w:rsidR="005C0B24" w:rsidRDefault="00000000">
            <w:r>
              <w:rPr>
                <w:sz w:val="20"/>
                <w:szCs w:val="20"/>
              </w:rPr>
              <w:t>Incomplete, inaccurate, weakly supported, or not decision-ready</w:t>
            </w:r>
          </w:p>
        </w:tc>
      </w:tr>
      <w:tr w:rsidR="005C0B24" w14:paraId="37F3B908"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F9824F8" w14:textId="77777777" w:rsidR="005C0B24" w:rsidRDefault="00000000">
            <w:r>
              <w:rPr>
                <w:b/>
                <w:bCs/>
                <w:sz w:val="20"/>
                <w:szCs w:val="20"/>
              </w:rPr>
              <w:t>Recommendation &amp; Communication (15%)</w:t>
            </w:r>
          </w:p>
        </w:tc>
        <w:tc>
          <w:tcPr>
            <w:tcW w:w="2000" w:type="dxa"/>
            <w:tcBorders>
              <w:top w:val="single" w:sz="1" w:space="0" w:color="999999"/>
              <w:left w:val="single" w:sz="1" w:space="0" w:color="999999"/>
              <w:bottom w:val="single" w:sz="1" w:space="0" w:color="999999"/>
              <w:right w:val="single" w:sz="1" w:space="0" w:color="999999"/>
            </w:tcBorders>
          </w:tcPr>
          <w:p w14:paraId="4ACF1EAD" w14:textId="77777777" w:rsidR="005C0B24" w:rsidRDefault="00000000">
            <w:r>
              <w:rPr>
                <w:sz w:val="20"/>
                <w:szCs w:val="20"/>
              </w:rPr>
              <w:t>Coherent, proportionate international-finance decision is concise and convincingly defended</w:t>
            </w:r>
          </w:p>
        </w:tc>
        <w:tc>
          <w:tcPr>
            <w:tcW w:w="2000" w:type="dxa"/>
            <w:tcBorders>
              <w:top w:val="single" w:sz="1" w:space="0" w:color="999999"/>
              <w:left w:val="single" w:sz="1" w:space="0" w:color="999999"/>
              <w:bottom w:val="single" w:sz="1" w:space="0" w:color="999999"/>
              <w:right w:val="single" w:sz="1" w:space="0" w:color="999999"/>
            </w:tcBorders>
          </w:tcPr>
          <w:p w14:paraId="06D8B1DC"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422C04B0"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2DBC9D85" w14:textId="77777777" w:rsidR="005C0B24" w:rsidRDefault="00000000">
            <w:r>
              <w:rPr>
                <w:sz w:val="20"/>
                <w:szCs w:val="20"/>
              </w:rPr>
              <w:t>Incomplete, inaccurate, weakly supported, or not decision-ready</w:t>
            </w:r>
          </w:p>
        </w:tc>
      </w:tr>
    </w:tbl>
    <w:p w14:paraId="1C0E26D9" w14:textId="77777777" w:rsidR="005C0B24" w:rsidRDefault="005C0B24"/>
    <w:p w14:paraId="65F51C7C" w14:textId="77777777" w:rsidR="005C0B24" w:rsidRDefault="00000000">
      <w:pPr>
        <w:pageBreakBefore w:val="0"/>
      </w:pPr>
      <w:r/>
    </w:p>
    <w:p w14:paraId="0752B018" w14:textId="77777777" w:rsidR="005C0B24" w:rsidRDefault="00000000">
      <w:pPr>
        <w:pStyle w:val="Heading2"/>
      </w:pPr>
      <w:r>
        <w:t>7.4 Development Finance Investment Appraisal Memorandum (Summative Assessment 2) - 15%</w:t>
      </w:r>
    </w:p>
    <w:p w14:paraId="0A3A438B" w14:textId="77777777" w:rsidR="005C0B24" w:rsidRDefault="00000000">
      <w:pPr>
        <w:spacing w:before="80" w:after="60"/>
      </w:pPr>
      <w:r>
        <w:t>Learning Outcomes Addressed: CLO2, CLO3, CLO4</w:t>
      </w:r>
    </w:p>
    <w:p w14:paraId="783DCF29" w14:textId="77777777" w:rsidR="005C0B24" w:rsidRDefault="00000000">
      <w:pPr>
        <w:spacing w:before="60" w:after="60"/>
      </w:pPr>
      <w:r>
        <w:t>Due Date: Week 10</w:t>
      </w:r>
    </w:p>
    <w:p w14:paraId="7641436A" w14:textId="77777777" w:rsidR="005C0B24" w:rsidRDefault="00000000">
      <w:pPr>
        <w:pStyle w:val="Heading3"/>
      </w:pPr>
      <w:r>
        <w:t>Description</w:t>
      </w:r>
    </w:p>
    <w:p w14:paraId="40C42C86" w14:textId="77777777" w:rsidR="005C0B24" w:rsidRDefault="00000000">
      <w:pPr>
        <w:spacing w:before="80" w:after="80"/>
      </w:pPr>
      <w:r>
        <w:t>Students prepare and defend an investment-appraisal memorandum for an approved sovereign or private-sector development-finance operation.</w:t>
      </w:r>
    </w:p>
    <w:p w14:paraId="40ECE3A0" w14:textId="77777777" w:rsidR="005C0B24" w:rsidRDefault="00000000">
      <w:pPr>
        <w:pStyle w:val="Heading3"/>
      </w:pPr>
      <w:r>
        <w:t>Assignment Focus</w:t>
      </w:r>
    </w:p>
    <w:p w14:paraId="5AE54DE3" w14:textId="77777777" w:rsidR="005C0B24" w:rsidRDefault="00000000">
      <w:pPr>
        <w:spacing w:before="80" w:after="80"/>
      </w:pPr>
      <w:r>
        <w:t>The memorandum must distinguish commercial viability, economic rationale, development additionality, mobilization, concessionality, sustainability objective, safeguard obligation, scenario, uncertainty, and managerial judgment.</w:t>
      </w:r>
    </w:p>
    <w:p w14:paraId="29E9D25C" w14:textId="77777777" w:rsidR="005C0B24" w:rsidRDefault="00000000">
      <w:pPr>
        <w:pStyle w:val="Heading3"/>
      </w:pPr>
      <w:r>
        <w:t>Requirements</w:t>
      </w:r>
    </w:p>
    <w:p w14:paraId="0A37E58C" w14:textId="77777777" w:rsidR="005C0B24" w:rsidRDefault="00000000">
      <w:pPr>
        <w:pStyle w:val="ListParagraph"/>
        <w:numPr>
          <w:ilvl w:val="0"/>
          <w:numId w:val="6"/>
        </w:numPr>
        <w:spacing w:before="80" w:after="80"/>
      </w:pPr>
      <w:r>
        <w:t>Client, country, sector, market failure, development problem, beneficiaries and affected groups, theory of change, and decision criteria</w:t>
      </w:r>
    </w:p>
    <w:p w14:paraId="1D6DE256" w14:textId="77777777" w:rsidR="005C0B24" w:rsidRDefault="00000000">
      <w:pPr>
        <w:pStyle w:val="ListParagraph"/>
        <w:numPr>
          <w:ilvl w:val="0"/>
          <w:numId w:val="6"/>
        </w:numPr>
        <w:spacing w:before="80" w:after="80"/>
      </w:pPr>
      <w:r>
        <w:t>Financing need, instrument alternatives, pricing or concessionality, capital structure, currency, tenor, security, guarantees, and mobilization</w:t>
      </w:r>
    </w:p>
    <w:p w14:paraId="1B90B2BE" w14:textId="77777777" w:rsidR="005C0B24" w:rsidRDefault="00000000">
      <w:pPr>
        <w:pStyle w:val="ListParagraph"/>
        <w:numPr>
          <w:ilvl w:val="0"/>
          <w:numId w:val="6"/>
        </w:numPr>
        <w:spacing w:before="80" w:after="80"/>
      </w:pPr>
      <w:r>
        <w:t>Financial and economic appraisal, cash flows, returns, affordability, fiscal or balance-sheet implications, sensitivities, and downside scenarios</w:t>
      </w:r>
    </w:p>
    <w:p w14:paraId="1925F107" w14:textId="77777777" w:rsidR="005C0B24" w:rsidRDefault="00000000">
      <w:pPr>
        <w:pStyle w:val="ListParagraph"/>
        <w:numPr>
          <w:ilvl w:val="0"/>
          <w:numId w:val="6"/>
        </w:numPr>
        <w:spacing w:before="80" w:after="80"/>
      </w:pPr>
      <w:r>
        <w:t>Additionality, development impact, climate/nature, inclusion, gender, just transition, distribution, results indicators, attribution, and claim integrity</w:t>
      </w:r>
    </w:p>
    <w:p w14:paraId="5F9C5064" w14:textId="77777777" w:rsidR="005C0B24" w:rsidRDefault="00000000">
      <w:pPr>
        <w:pStyle w:val="ListParagraph"/>
        <w:numPr>
          <w:ilvl w:val="0"/>
          <w:numId w:val="6"/>
        </w:numPr>
        <w:spacing w:before="80" w:after="80"/>
      </w:pPr>
      <w:r>
        <w:t>Environmental and social risks, integrity, procurement, governance, fiduciary, implementation-capacity, grievance, accountability, and supervision controls</w:t>
      </w:r>
    </w:p>
    <w:p w14:paraId="0AC4E4AC" w14:textId="77777777" w:rsidR="005C0B24" w:rsidRDefault="00000000">
      <w:pPr>
        <w:pStyle w:val="ListParagraph"/>
        <w:numPr>
          <w:ilvl w:val="0"/>
          <w:numId w:val="6"/>
        </w:numPr>
        <w:spacing w:before="80" w:after="80"/>
      </w:pPr>
      <w:r>
        <w:t>Recommendation with conditions, covenants, owners, disbursement gates, milestones, monitoring, evaluation, exit, limitations, and AI Usage Statement</w:t>
      </w:r>
    </w:p>
    <w:p w14:paraId="3E8553E1" w14:textId="77777777" w:rsidR="005C0B24" w:rsidRDefault="00000000">
      <w:pPr>
        <w:spacing w:before="80" w:after="60"/>
      </w:pPr>
      <w:r>
        <w:t>Total Length: 1,800-2,200-word investment-appraisal memorandum plus financial, economic, currency, risk, safeguards, results, and implementation exhibits</w:t>
      </w:r>
    </w:p>
    <w:p w14:paraId="1BEFBDD3" w14:textId="77777777" w:rsidR="005C0B24" w:rsidRDefault="00000000">
      <w:pPr>
        <w:spacing w:before="60" w:after="60"/>
      </w:pPr>
      <w:r>
        <w:t>Format: Professional decision memorandum, auditable exhibits, and 5-7 minute individual review; submit through the LMS</w:t>
      </w:r>
    </w:p>
    <w:p w14:paraId="57520E62" w14:textId="77777777" w:rsidR="005C0B24" w:rsidRDefault="005C0B24"/>
    <w:p w14:paraId="01FEB16D" w14:textId="77777777" w:rsidR="005C0B24" w:rsidRDefault="00000000">
      <w:pPr>
        <w:pStyle w:val="Heading3"/>
        <w:keepNext/>
      </w:pPr>
      <w:r>
        <w:t>Development Finance Investment Appraisal Memorandum Rubric</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99"/>
        <w:gridCol w:w="1874"/>
        <w:gridCol w:w="1912"/>
        <w:gridCol w:w="1861"/>
        <w:gridCol w:w="1678"/>
      </w:tblGrid>
      <w:tr w:rsidR="005C0B24" w14:paraId="6730277D"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22E964B0" w14:textId="77777777" w:rsidR="005C0B24" w:rsidRDefault="00000000">
            <w:pPr>
              <w:jc w:val="center"/>
            </w:pPr>
            <w:r>
              <w:rPr>
                <w:b/>
                <w:bCs/>
                <w:color w:val="FFFFFF"/>
                <w:sz w:val="20"/>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6EC86F5B" w14:textId="77777777" w:rsidR="005C0B24" w:rsidRDefault="00000000">
            <w:pPr>
              <w:jc w:val="center"/>
            </w:pPr>
            <w:r>
              <w:rPr>
                <w:b/>
                <w:bCs/>
                <w:color w:val="FFFFFF"/>
                <w:sz w:val="20"/>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1A64E87A" w14:textId="77777777" w:rsidR="005C0B24" w:rsidRDefault="00000000">
            <w:pPr>
              <w:jc w:val="center"/>
            </w:pPr>
            <w:r>
              <w:rPr>
                <w:b/>
                <w:bCs/>
                <w:color w:val="FFFFFF"/>
                <w:sz w:val="20"/>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2C3751E2" w14:textId="77777777" w:rsidR="005C0B24" w:rsidRDefault="00000000">
            <w:pPr>
              <w:jc w:val="center"/>
            </w:pPr>
            <w:r>
              <w:rPr>
                <w:b/>
                <w:bCs/>
                <w:color w:val="FFFFFF"/>
                <w:sz w:val="20"/>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614D2277" w14:textId="77777777" w:rsidR="005C0B24" w:rsidRDefault="00000000">
            <w:pPr>
              <w:jc w:val="center"/>
            </w:pPr>
            <w:r>
              <w:rPr>
                <w:b/>
                <w:bCs/>
                <w:color w:val="FFFFFF"/>
                <w:sz w:val="20"/>
                <w:szCs w:val="20"/>
              </w:rPr>
              <w:t>Needs Improvement (1)</w:t>
            </w:r>
          </w:p>
        </w:tc>
      </w:tr>
      <w:tr w:rsidR="005C0B24" w14:paraId="08282996"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D67D4B5" w14:textId="77777777" w:rsidR="005C0B24" w:rsidRDefault="00000000">
            <w:r>
              <w:rPr>
                <w:b/>
                <w:bCs/>
                <w:sz w:val="20"/>
                <w:szCs w:val="20"/>
              </w:rPr>
              <w:t>Development Rationale &amp; Additionality (15%)</w:t>
            </w:r>
          </w:p>
        </w:tc>
        <w:tc>
          <w:tcPr>
            <w:tcW w:w="2000" w:type="dxa"/>
            <w:tcBorders>
              <w:top w:val="single" w:sz="1" w:space="0" w:color="999999"/>
              <w:left w:val="single" w:sz="1" w:space="0" w:color="999999"/>
              <w:bottom w:val="single" w:sz="1" w:space="0" w:color="999999"/>
              <w:right w:val="single" w:sz="1" w:space="0" w:color="999999"/>
            </w:tcBorders>
          </w:tcPr>
          <w:p w14:paraId="5357E59D" w14:textId="77777777" w:rsidR="005C0B24" w:rsidRDefault="00000000">
            <w:r>
              <w:rPr>
                <w:sz w:val="20"/>
                <w:szCs w:val="20"/>
              </w:rPr>
              <w:t>Problem, market failure, client, beneficiaries, theory of change, additionality, and criteria are precise</w:t>
            </w:r>
          </w:p>
        </w:tc>
        <w:tc>
          <w:tcPr>
            <w:tcW w:w="2000" w:type="dxa"/>
            <w:tcBorders>
              <w:top w:val="single" w:sz="1" w:space="0" w:color="999999"/>
              <w:left w:val="single" w:sz="1" w:space="0" w:color="999999"/>
              <w:bottom w:val="single" w:sz="1" w:space="0" w:color="999999"/>
              <w:right w:val="single" w:sz="1" w:space="0" w:color="999999"/>
            </w:tcBorders>
          </w:tcPr>
          <w:p w14:paraId="6E10AB46"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10878435"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39E7AEC2" w14:textId="77777777" w:rsidR="005C0B24" w:rsidRDefault="00000000">
            <w:r>
              <w:rPr>
                <w:sz w:val="20"/>
                <w:szCs w:val="20"/>
              </w:rPr>
              <w:t>Incomplete, inaccurate, weakly supported, or not decision-ready</w:t>
            </w:r>
          </w:p>
        </w:tc>
      </w:tr>
      <w:tr w:rsidR="005C0B24" w14:paraId="16920137"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07D0228F" w14:textId="77777777" w:rsidR="005C0B24" w:rsidRDefault="00000000">
            <w:r>
              <w:rPr>
                <w:b/>
                <w:bCs/>
                <w:sz w:val="20"/>
                <w:szCs w:val="20"/>
              </w:rPr>
              <w:t>Financing Structure &amp; Instrument Choice (20%)</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56CA6ADD" w14:textId="77777777" w:rsidR="005C0B24" w:rsidRDefault="00000000">
            <w:r>
              <w:rPr>
                <w:sz w:val="20"/>
                <w:szCs w:val="20"/>
              </w:rPr>
              <w:t>Alternatives, currency, tenor, pricing, capital, guarantees, concessionality, mobilization, and risk allocation are compelling</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2E7292DA"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C78849E"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36848FEB" w14:textId="77777777" w:rsidR="005C0B24" w:rsidRDefault="00000000">
            <w:r>
              <w:rPr>
                <w:sz w:val="20"/>
                <w:szCs w:val="20"/>
              </w:rPr>
              <w:t>Incomplete, inaccurate, weakly supported, or not decision-ready</w:t>
            </w:r>
          </w:p>
        </w:tc>
      </w:tr>
      <w:tr w:rsidR="005C0B24" w14:paraId="039D9B9F"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7A456275" w14:textId="77777777" w:rsidR="005C0B24" w:rsidRDefault="00000000">
            <w:r>
              <w:rPr>
                <w:b/>
                <w:bCs/>
                <w:sz w:val="20"/>
                <w:szCs w:val="20"/>
              </w:rPr>
              <w:t>Financial &amp; Economic Appraisal (20%)</w:t>
            </w:r>
          </w:p>
        </w:tc>
        <w:tc>
          <w:tcPr>
            <w:tcW w:w="2000" w:type="dxa"/>
            <w:tcBorders>
              <w:top w:val="single" w:sz="1" w:space="0" w:color="999999"/>
              <w:left w:val="single" w:sz="1" w:space="0" w:color="999999"/>
              <w:bottom w:val="single" w:sz="1" w:space="0" w:color="999999"/>
              <w:right w:val="single" w:sz="1" w:space="0" w:color="999999"/>
            </w:tcBorders>
          </w:tcPr>
          <w:p w14:paraId="52DF2DA5" w14:textId="77777777" w:rsidR="005C0B24" w:rsidRDefault="00000000">
            <w:r>
              <w:rPr>
                <w:sz w:val="20"/>
                <w:szCs w:val="20"/>
              </w:rPr>
              <w:t>Cash flows, returns, affordability, fiscal effects, sensitivities, and downside scenarios are credible</w:t>
            </w:r>
          </w:p>
        </w:tc>
        <w:tc>
          <w:tcPr>
            <w:tcW w:w="2000" w:type="dxa"/>
            <w:tcBorders>
              <w:top w:val="single" w:sz="1" w:space="0" w:color="999999"/>
              <w:left w:val="single" w:sz="1" w:space="0" w:color="999999"/>
              <w:bottom w:val="single" w:sz="1" w:space="0" w:color="999999"/>
              <w:right w:val="single" w:sz="1" w:space="0" w:color="999999"/>
            </w:tcBorders>
          </w:tcPr>
          <w:p w14:paraId="56E6F89E"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75DCB1E4"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2EA178A2" w14:textId="77777777" w:rsidR="005C0B24" w:rsidRDefault="00000000">
            <w:r>
              <w:rPr>
                <w:sz w:val="20"/>
                <w:szCs w:val="20"/>
              </w:rPr>
              <w:t>Incomplete, inaccurate, weakly supported, or not decision-ready</w:t>
            </w:r>
          </w:p>
        </w:tc>
      </w:tr>
      <w:tr w:rsidR="005C0B24" w14:paraId="20CBA59B"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5067E226" w14:textId="77777777" w:rsidR="005C0B24" w:rsidRDefault="00000000">
            <w:r>
              <w:rPr>
                <w:b/>
                <w:bCs/>
                <w:sz w:val="20"/>
                <w:szCs w:val="20"/>
              </w:rPr>
              <w:t>Sustainability, Safeguards &amp; Impact (20%)</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C5BBF45" w14:textId="77777777" w:rsidR="005C0B24" w:rsidRDefault="00000000">
            <w:r>
              <w:rPr>
                <w:sz w:val="20"/>
                <w:szCs w:val="20"/>
              </w:rPr>
              <w:t>Climate/nature, inclusion, gender, distribution, safeguards, affected groups, indicators, and claims are rigorous</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26C59063"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0440E309"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4852852B" w14:textId="77777777" w:rsidR="005C0B24" w:rsidRDefault="00000000">
            <w:r>
              <w:rPr>
                <w:sz w:val="20"/>
                <w:szCs w:val="20"/>
              </w:rPr>
              <w:t>Incomplete, inaccurate, weakly supported, or not decision-ready</w:t>
            </w:r>
          </w:p>
        </w:tc>
      </w:tr>
      <w:tr w:rsidR="005C0B24" w14:paraId="24939665"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F9CDCC3" w14:textId="77777777" w:rsidR="005C0B24" w:rsidRDefault="00000000">
            <w:r>
              <w:rPr>
                <w:b/>
                <w:bCs/>
                <w:sz w:val="20"/>
                <w:szCs w:val="20"/>
              </w:rPr>
              <w:t>Operations, Controls &amp; Governance (15%)</w:t>
            </w:r>
          </w:p>
        </w:tc>
        <w:tc>
          <w:tcPr>
            <w:tcW w:w="2000" w:type="dxa"/>
            <w:tcBorders>
              <w:top w:val="single" w:sz="1" w:space="0" w:color="999999"/>
              <w:left w:val="single" w:sz="1" w:space="0" w:color="999999"/>
              <w:bottom w:val="single" w:sz="1" w:space="0" w:color="999999"/>
              <w:right w:val="single" w:sz="1" w:space="0" w:color="999999"/>
            </w:tcBorders>
          </w:tcPr>
          <w:p w14:paraId="7FCDFA2E" w14:textId="77777777" w:rsidR="005C0B24" w:rsidRDefault="00000000">
            <w:r>
              <w:rPr>
                <w:sz w:val="20"/>
                <w:szCs w:val="20"/>
              </w:rPr>
              <w:t>Integrity, procurement, capacity, covenants, disbursement, supervision, accountability, owners, and milestones are actionable</w:t>
            </w:r>
          </w:p>
        </w:tc>
        <w:tc>
          <w:tcPr>
            <w:tcW w:w="2000" w:type="dxa"/>
            <w:tcBorders>
              <w:top w:val="single" w:sz="1" w:space="0" w:color="999999"/>
              <w:left w:val="single" w:sz="1" w:space="0" w:color="999999"/>
              <w:bottom w:val="single" w:sz="1" w:space="0" w:color="999999"/>
              <w:right w:val="single" w:sz="1" w:space="0" w:color="999999"/>
            </w:tcBorders>
          </w:tcPr>
          <w:p w14:paraId="1C03B2A5"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54E92833"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0FB81894" w14:textId="77777777" w:rsidR="005C0B24" w:rsidRDefault="00000000">
            <w:r>
              <w:rPr>
                <w:sz w:val="20"/>
                <w:szCs w:val="20"/>
              </w:rPr>
              <w:t>Incomplete, inaccurate, weakly supported, or not decision-ready</w:t>
            </w:r>
          </w:p>
        </w:tc>
      </w:tr>
      <w:tr w:rsidR="005C0B24" w14:paraId="6AE0D96E"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4CFD761C" w14:textId="77777777" w:rsidR="005C0B24" w:rsidRDefault="00000000">
            <w:r>
              <w:rPr>
                <w:b/>
                <w:bCs/>
                <w:sz w:val="20"/>
                <w:szCs w:val="20"/>
              </w:rPr>
              <w:t>Evidence, Limitations &amp; AI Transparency (10%)</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2A8ECB6" w14:textId="77777777" w:rsidR="005C0B24" w:rsidRDefault="00000000">
            <w:r>
              <w:rPr>
                <w:sz w:val="20"/>
                <w:szCs w:val="20"/>
              </w:rPr>
              <w:t>Sources, data, models, calculations, assumptions, uncertainty, limitations, and AI use are auditable</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58DC21C"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A5C644A"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45806CF5" w14:textId="77777777" w:rsidR="005C0B24" w:rsidRDefault="00000000">
            <w:r>
              <w:rPr>
                <w:sz w:val="20"/>
                <w:szCs w:val="20"/>
              </w:rPr>
              <w:t>Incomplete, inaccurate, weakly supported, or not decision-ready</w:t>
            </w:r>
          </w:p>
        </w:tc>
      </w:tr>
    </w:tbl>
    <w:p w14:paraId="4F02366A" w14:textId="77777777" w:rsidR="005C0B24" w:rsidRDefault="005C0B24">
      <w:pPr>
        <w:pageBreakBefore w:val="0"/>
      </w:pPr>
    </w:p>
    <w:p w14:paraId="22EE5840" w14:textId="77777777" w:rsidR="005C0B24" w:rsidRDefault="00000000">
      <w:pPr>
        <w:pageBreakBefore w:val="0"/>
      </w:pPr>
      <w:r/>
    </w:p>
    <w:p w14:paraId="2CBC5DA0" w14:textId="77777777" w:rsidR="005C0B24" w:rsidRDefault="00000000">
      <w:pPr>
        <w:pStyle w:val="Heading1"/>
      </w:pPr>
      <w:r>
        <w:t>8. Final Project: International Financing &amp; Development Impact Strategy (Summative Assessment 3) - 40%</w:t>
      </w:r>
    </w:p>
    <w:p w14:paraId="51609CD0" w14:textId="77777777" w:rsidR="005C0B24" w:rsidRDefault="00000000">
      <w:pPr>
        <w:spacing w:before="80" w:after="60"/>
      </w:pPr>
      <w:r>
        <w:t>Learning Outcomes Addressed: All course learning outcomes (CLO1-CLO5)</w:t>
      </w:r>
    </w:p>
    <w:p w14:paraId="026CC1AA" w14:textId="77777777" w:rsidR="005C0B24" w:rsidRDefault="005C0B24"/>
    <w:p w14:paraId="214E5207" w14:textId="77777777" w:rsidR="005C0B24" w:rsidRDefault="00000000">
      <w:pPr>
        <w:pStyle w:val="Heading2"/>
      </w:pPr>
      <w:r>
        <w:t>8.1 Project Overview</w:t>
      </w:r>
    </w:p>
    <w:p w14:paraId="54ADA405" w14:textId="77777777" w:rsidR="005C0B24" w:rsidRDefault="00000000">
      <w:pPr>
        <w:spacing w:before="80" w:after="80"/>
      </w:pPr>
      <w:r>
        <w:t>The final project is the signature assessment of International Finance and Development Banking. Students develop and defend an implementation-ready international financing or development-bank strategy supported by macrofinancial evidence, financial modelling, operational design, sustainability analysis, safeguards, and governance.</w:t>
      </w:r>
    </w:p>
    <w:p w14:paraId="247A3D9E" w14:textId="77777777" w:rsidR="005C0B24" w:rsidRDefault="005C0B24"/>
    <w:p w14:paraId="009A9C29" w14:textId="77777777" w:rsidR="005C0B24" w:rsidRDefault="00000000">
      <w:pPr>
        <w:pStyle w:val="Heading2"/>
      </w:pPr>
      <w:r>
        <w:t>8.2 Project Scope</w:t>
      </w:r>
    </w:p>
    <w:p w14:paraId="4665887E" w14:textId="77777777" w:rsidR="005C0B24" w:rsidRDefault="00000000">
      <w:pPr>
        <w:spacing w:before="80" w:after="80"/>
      </w:pPr>
      <w:r>
        <w:t>Each student selects an approved multinational financing decision, sovereign or municipal financing need, IBRD/IDA-style operation, IFC-style private investment, MIGA-style guarantee, regional or national development-bank operation, trade-finance program, blended-finance structure, or instructor-provided case for which lawful, non-confidential, and sufficiently reliable evidence is available.</w:t>
      </w:r>
    </w:p>
    <w:p w14:paraId="40321B12" w14:textId="77777777" w:rsidR="005C0B24" w:rsidRDefault="005C0B24"/>
    <w:p w14:paraId="5D4569EA" w14:textId="77777777" w:rsidR="005C0B24" w:rsidRDefault="00000000">
      <w:pPr>
        <w:pStyle w:val="Heading2"/>
      </w:pPr>
      <w:r>
        <w:t>8.3 Deliverables</w:t>
      </w:r>
    </w:p>
    <w:p w14:paraId="4AFD10D2" w14:textId="77777777" w:rsidR="005C0B24" w:rsidRDefault="00000000">
      <w:pPr>
        <w:pStyle w:val="Heading3"/>
      </w:pPr>
      <w:r>
        <w:t>International Financing and Development Impact Strategy (3,500-4,500 words, excluding appendices)</w:t>
      </w:r>
    </w:p>
    <w:p w14:paraId="697B27D2" w14:textId="77777777" w:rsidR="005C0B24" w:rsidRDefault="00000000">
      <w:pPr>
        <w:pStyle w:val="ListParagraph"/>
        <w:numPr>
          <w:ilvl w:val="0"/>
          <w:numId w:val="7"/>
        </w:numPr>
        <w:spacing w:before="80" w:after="80"/>
      </w:pPr>
      <w:r>
        <w:t>Executive Investment/Credit/Board Brief: decision, context, financing need, value, development rationale, major risks, conditions, decisions requested, and limitations</w:t>
      </w:r>
    </w:p>
    <w:p w14:paraId="34B393D5" w14:textId="77777777" w:rsidR="005C0B24" w:rsidRDefault="00000000">
      <w:pPr>
        <w:pStyle w:val="ListParagraph"/>
        <w:numPr>
          <w:ilvl w:val="0"/>
          <w:numId w:val="7"/>
        </w:numPr>
        <w:spacing w:before="80" w:after="80"/>
      </w:pPr>
      <w:r>
        <w:t>International and Country Diagnosis: monetary and external context, balance of payments, currency regime, capital flows, country/sovereign risk, stakeholders, institutions, and scenarios</w:t>
      </w:r>
    </w:p>
    <w:p w14:paraId="683B2579" w14:textId="77777777" w:rsidR="005C0B24" w:rsidRDefault="00000000">
      <w:pPr>
        <w:pStyle w:val="ListParagraph"/>
        <w:numPr>
          <w:ilvl w:val="0"/>
          <w:numId w:val="7"/>
        </w:numPr>
        <w:spacing w:before="80" w:after="80"/>
      </w:pPr>
      <w:r>
        <w:t>Financing and Instrument Design: client and beneficiary needs, alternatives, currency, tenor, pricing, capital structure, guarantees, risk allocation, concessionality, mobilization, and rationale</w:t>
      </w:r>
    </w:p>
    <w:p w14:paraId="40197DA8" w14:textId="77777777" w:rsidR="005C0B24" w:rsidRDefault="00000000">
      <w:pPr>
        <w:pStyle w:val="ListParagraph"/>
        <w:numPr>
          <w:ilvl w:val="0"/>
          <w:numId w:val="7"/>
        </w:numPr>
        <w:spacing w:before="80" w:after="80"/>
      </w:pPr>
      <w:r>
        <w:t>Financial and Economic Appraisal: cash flows, valuation, returns, affordability, fiscal or balance-sheet effects, cost of capital, sensitivities, stress tests, and distribution</w:t>
      </w:r>
    </w:p>
    <w:p w14:paraId="2CF662AF" w14:textId="77777777" w:rsidR="005C0B24" w:rsidRDefault="00000000">
      <w:pPr>
        <w:pStyle w:val="ListParagraph"/>
        <w:numPr>
          <w:ilvl w:val="0"/>
          <w:numId w:val="7"/>
        </w:numPr>
        <w:spacing w:before="80" w:after="80"/>
      </w:pPr>
      <w:r>
        <w:t>Development Additionality and Sustainability: theory of change, climate/nature, inclusion, gender, just transition, beneficiaries and affected groups, impact integrity, indicators, baselines, targets, and learning</w:t>
      </w:r>
    </w:p>
    <w:p w14:paraId="0334A673" w14:textId="77777777" w:rsidR="005C0B24" w:rsidRDefault="00000000">
      <w:pPr>
        <w:pStyle w:val="ListParagraph"/>
        <w:numPr>
          <w:ilvl w:val="0"/>
          <w:numId w:val="7"/>
        </w:numPr>
        <w:spacing w:before="80" w:after="80"/>
      </w:pPr>
      <w:r>
        <w:t>Safeguards, Integrity, and Accountability: environmental and social risks, stakeholder engagement, grievance, procurement, financial management, integrity, disclosure, remedy, and independent accountability</w:t>
      </w:r>
    </w:p>
    <w:p w14:paraId="15E23936" w14:textId="77777777" w:rsidR="005C0B24" w:rsidRDefault="00000000">
      <w:pPr>
        <w:pStyle w:val="ListParagraph"/>
        <w:numPr>
          <w:ilvl w:val="0"/>
          <w:numId w:val="7"/>
        </w:numPr>
        <w:spacing w:before="80" w:after="80"/>
      </w:pPr>
      <w:r>
        <w:t>Operations, Governance, and Implementation: project cycle, approvals, legal conditions, disbursement, capacity, owners, milestones, supervision, monitoring, evaluation, restructuring, completion, and exit</w:t>
      </w:r>
    </w:p>
    <w:p w14:paraId="22B97F46" w14:textId="77777777" w:rsidR="005C0B24" w:rsidRDefault="00000000">
      <w:pPr>
        <w:pStyle w:val="ListParagraph"/>
        <w:numPr>
          <w:ilvl w:val="0"/>
          <w:numId w:val="7"/>
        </w:numPr>
        <w:spacing w:before="80" w:after="80"/>
      </w:pPr>
      <w:r>
        <w:t>Evidence and AI Record: dated sources, data and model provenance, calculations, assumptions, scenarios, uncertainty, limitations, independent judgment, reflection, and disclosure</w:t>
      </w:r>
    </w:p>
    <w:p w14:paraId="415462D1" w14:textId="77777777" w:rsidR="005C0B24" w:rsidRDefault="005C0B24"/>
    <w:p w14:paraId="5D5FC337" w14:textId="77777777" w:rsidR="005C0B24" w:rsidRDefault="00000000">
      <w:pPr>
        <w:pStyle w:val="Heading3"/>
      </w:pPr>
      <w:r>
        <w:t>Executive Presentation and Individual Oral Defence (12-15 minutes plus 5-10 minutes for questions)</w:t>
      </w:r>
    </w:p>
    <w:p w14:paraId="3DD10646" w14:textId="77777777" w:rsidR="005C0B24" w:rsidRDefault="00000000">
      <w:pPr>
        <w:pStyle w:val="ListParagraph"/>
        <w:numPr>
          <w:ilvl w:val="0"/>
          <w:numId w:val="3"/>
        </w:numPr>
        <w:spacing w:before="80" w:after="80"/>
      </w:pPr>
      <w:r>
        <w:t>Present during the Week 14 synchronous session</w:t>
      </w:r>
    </w:p>
    <w:p w14:paraId="16EA777C" w14:textId="77777777" w:rsidR="005C0B24" w:rsidRDefault="00000000">
      <w:pPr>
        <w:pStyle w:val="ListParagraph"/>
        <w:numPr>
          <w:ilvl w:val="0"/>
          <w:numId w:val="3"/>
        </w:numPr>
        <w:spacing w:before="80" w:after="80"/>
      </w:pPr>
      <w:r>
        <w:t>10-12 slides or equivalent investment/credit/board narrative supported by country, currency, financing, appraisal, sustainability, safeguards, risk, and implementation evidence</w:t>
      </w:r>
    </w:p>
    <w:p w14:paraId="3BF69189" w14:textId="77777777" w:rsidR="005C0B24" w:rsidRDefault="00000000">
      <w:pPr>
        <w:pStyle w:val="ListParagraph"/>
        <w:numPr>
          <w:ilvl w:val="0"/>
          <w:numId w:val="3"/>
        </w:numPr>
        <w:spacing w:before="80" w:after="80"/>
      </w:pPr>
      <w:r>
        <w:t>Respond to questions about institution and instrument choice, exchange-rate and sovereign risk, viability, additionality, mobilization, safeguards, debt sustainability, governance, and limitations</w:t>
      </w:r>
    </w:p>
    <w:p w14:paraId="7D3A052A" w14:textId="77777777" w:rsidR="005C0B24" w:rsidRDefault="00000000">
      <w:pPr>
        <w:pStyle w:val="ListParagraph"/>
        <w:numPr>
          <w:ilvl w:val="0"/>
          <w:numId w:val="3"/>
        </w:numPr>
        <w:spacing w:before="80" w:after="80"/>
      </w:pPr>
      <w:r>
        <w:t>Professional, accessible, and interculturally responsive communication with transparent attribution and independent graduate mastery</w:t>
      </w:r>
    </w:p>
    <w:p w14:paraId="35E518A4" w14:textId="77777777" w:rsidR="005C0B24" w:rsidRDefault="005C0B24"/>
    <w:p w14:paraId="30EF1323" w14:textId="77777777" w:rsidR="005C0B24" w:rsidRDefault="00000000">
      <w:pPr>
        <w:pStyle w:val="Heading2"/>
      </w:pPr>
      <w:r>
        <w:t>8.4 Project Timeline &amp; Milestones</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25"/>
        <w:gridCol w:w="2701"/>
        <w:gridCol w:w="2136"/>
        <w:gridCol w:w="2462"/>
      </w:tblGrid>
      <w:tr w:rsidR="005C0B24" w14:paraId="627E67E4" w14:textId="77777777">
        <w:tblPrEx>
          <w:tblCellMar>
            <w:top w:w="0" w:type="dxa"/>
            <w:bottom w:w="0" w:type="dxa"/>
          </w:tblCellMar>
        </w:tblPrEx>
        <w:trPr>
          <w:tblHeader w:val="true"/>
          <w:cantSplit w:val="true"/>
        </w:trPr>
        <w:tc>
          <w:tcPr>
            <w:tcW w:w="1800" w:type="dxa"/>
            <w:tcBorders>
              <w:top w:val="single" w:sz="1" w:space="0" w:color="999999"/>
              <w:left w:val="single" w:sz="1" w:space="0" w:color="999999"/>
              <w:bottom w:val="single" w:sz="1" w:space="0" w:color="999999"/>
              <w:right w:val="single" w:sz="1" w:space="0" w:color="999999"/>
            </w:tcBorders>
            <w:shd w:val="clear" w:color="auto" w:fill="1F4E79"/>
          </w:tcPr>
          <w:p w14:paraId="5EBDEB19" w14:textId="77777777" w:rsidR="005C0B24" w:rsidRDefault="00000000">
            <w:pPr>
              <w:jc w:val="center"/>
            </w:pPr>
            <w:r>
              <w:rPr>
                <w:b/>
                <w:bCs/>
                <w:color w:val="FFFFFF"/>
                <w:sz w:val="20"/>
                <w:szCs w:val="20"/>
              </w:rPr>
              <w:t>Week</w:t>
            </w:r>
          </w:p>
        </w:tc>
        <w:tc>
          <w:tcPr>
            <w:tcW w:w="2800" w:type="dxa"/>
            <w:tcBorders>
              <w:top w:val="single" w:sz="1" w:space="0" w:color="999999"/>
              <w:left w:val="single" w:sz="1" w:space="0" w:color="999999"/>
              <w:bottom w:val="single" w:sz="1" w:space="0" w:color="999999"/>
              <w:right w:val="single" w:sz="1" w:space="0" w:color="999999"/>
            </w:tcBorders>
            <w:shd w:val="clear" w:color="auto" w:fill="1F4E79"/>
          </w:tcPr>
          <w:p w14:paraId="36F0FF91" w14:textId="77777777" w:rsidR="005C0B24" w:rsidRDefault="00000000">
            <w:pPr>
              <w:jc w:val="center"/>
            </w:pPr>
            <w:r>
              <w:rPr>
                <w:b/>
                <w:bCs/>
                <w:color w:val="FFFFFF"/>
                <w:sz w:val="20"/>
                <w:szCs w:val="20"/>
              </w:rPr>
              <w:t>Milestone</w:t>
            </w:r>
          </w:p>
        </w:tc>
        <w:tc>
          <w:tcPr>
            <w:tcW w:w="2200" w:type="dxa"/>
            <w:tcBorders>
              <w:top w:val="single" w:sz="1" w:space="0" w:color="999999"/>
              <w:left w:val="single" w:sz="1" w:space="0" w:color="999999"/>
              <w:bottom w:val="single" w:sz="1" w:space="0" w:color="999999"/>
              <w:right w:val="single" w:sz="1" w:space="0" w:color="999999"/>
            </w:tcBorders>
            <w:shd w:val="clear" w:color="auto" w:fill="1F4E79"/>
          </w:tcPr>
          <w:p w14:paraId="56891D37" w14:textId="77777777" w:rsidR="005C0B24" w:rsidRDefault="00000000">
            <w:pPr>
              <w:jc w:val="center"/>
            </w:pPr>
            <w:r>
              <w:rPr>
                <w:b/>
                <w:bCs/>
                <w:color w:val="FFFFFF"/>
                <w:sz w:val="20"/>
                <w:szCs w:val="20"/>
              </w:rPr>
              <w:t>Deliverable</w:t>
            </w:r>
          </w:p>
        </w:tc>
        <w:tc>
          <w:tcPr>
            <w:tcW w:w="2560" w:type="dxa"/>
            <w:tcBorders>
              <w:top w:val="single" w:sz="1" w:space="0" w:color="999999"/>
              <w:left w:val="single" w:sz="1" w:space="0" w:color="999999"/>
              <w:bottom w:val="single" w:sz="1" w:space="0" w:color="999999"/>
              <w:right w:val="single" w:sz="1" w:space="0" w:color="999999"/>
            </w:tcBorders>
            <w:shd w:val="clear" w:color="auto" w:fill="1F4E79"/>
          </w:tcPr>
          <w:p w14:paraId="6532A204" w14:textId="77777777" w:rsidR="005C0B24" w:rsidRDefault="00000000">
            <w:pPr>
              <w:jc w:val="center"/>
            </w:pPr>
            <w:r>
              <w:rPr>
                <w:b/>
                <w:bCs/>
                <w:color w:val="FFFFFF"/>
                <w:sz w:val="20"/>
                <w:szCs w:val="20"/>
              </w:rPr>
              <w:t>Weight</w:t>
            </w:r>
          </w:p>
        </w:tc>
      </w:tr>
      <w:tr w:rsidR="005C0B24" w14:paraId="46D83F18" w14:textId="77777777">
        <w:tblPrEx>
          <w:tblCellMar>
            <w:top w:w="0" w:type="dxa"/>
            <w:bottom w:w="0" w:type="dxa"/>
          </w:tblCellMar>
        </w:tblPrEx>
        <w:trPr>
          <w:cantSplit w:val="true"/>
        </w:trPr>
        <w:tc>
          <w:tcPr>
            <w:tcW w:w="1800" w:type="dxa"/>
            <w:tcBorders>
              <w:top w:val="single" w:sz="1" w:space="0" w:color="999999"/>
              <w:left w:val="single" w:sz="1" w:space="0" w:color="999999"/>
              <w:bottom w:val="single" w:sz="1" w:space="0" w:color="999999"/>
              <w:right w:val="single" w:sz="1" w:space="0" w:color="999999"/>
            </w:tcBorders>
          </w:tcPr>
          <w:p w14:paraId="26647A02" w14:textId="77777777" w:rsidR="005C0B24" w:rsidRDefault="00000000">
            <w:pPr>
              <w:jc w:val="center"/>
            </w:pPr>
            <w:r>
              <w:rPr>
                <w:sz w:val="20"/>
                <w:szCs w:val="20"/>
              </w:rPr>
              <w:t>Week 9</w:t>
            </w:r>
          </w:p>
        </w:tc>
        <w:tc>
          <w:tcPr>
            <w:tcW w:w="2800" w:type="dxa"/>
            <w:tcBorders>
              <w:top w:val="single" w:sz="1" w:space="0" w:color="999999"/>
              <w:left w:val="single" w:sz="1" w:space="0" w:color="999999"/>
              <w:bottom w:val="single" w:sz="1" w:space="0" w:color="999999"/>
              <w:right w:val="single" w:sz="1" w:space="0" w:color="999999"/>
            </w:tcBorders>
          </w:tcPr>
          <w:p w14:paraId="77A972F1" w14:textId="77777777" w:rsidR="005C0B24" w:rsidRDefault="00000000">
            <w:r>
              <w:rPr>
                <w:sz w:val="20"/>
                <w:szCs w:val="20"/>
              </w:rPr>
              <w:t>Scope and Evidence Gate</w:t>
            </w:r>
          </w:p>
        </w:tc>
        <w:tc>
          <w:tcPr>
            <w:tcW w:w="2200" w:type="dxa"/>
            <w:tcBorders>
              <w:top w:val="single" w:sz="1" w:space="0" w:color="999999"/>
              <w:left w:val="single" w:sz="1" w:space="0" w:color="999999"/>
              <w:bottom w:val="single" w:sz="1" w:space="0" w:color="999999"/>
              <w:right w:val="single" w:sz="1" w:space="0" w:color="999999"/>
            </w:tcBorders>
          </w:tcPr>
          <w:p w14:paraId="3AAB8E0C" w14:textId="77777777" w:rsidR="005C0B24" w:rsidRDefault="00000000">
            <w:r>
              <w:rPr>
                <w:sz w:val="20"/>
                <w:szCs w:val="20"/>
              </w:rPr>
              <w:t>Approved decision, country/client, stakeholders, development problem, source hierarchy, integrity screen, and evidence plan</w:t>
            </w:r>
          </w:p>
        </w:tc>
        <w:tc>
          <w:tcPr>
            <w:tcW w:w="2560" w:type="dxa"/>
            <w:tcBorders>
              <w:top w:val="single" w:sz="1" w:space="0" w:color="999999"/>
              <w:left w:val="single" w:sz="1" w:space="0" w:color="999999"/>
              <w:bottom w:val="single" w:sz="1" w:space="0" w:color="999999"/>
              <w:right w:val="single" w:sz="1" w:space="0" w:color="999999"/>
            </w:tcBorders>
          </w:tcPr>
          <w:p w14:paraId="62753DFF" w14:textId="77777777" w:rsidR="005C0B24" w:rsidRDefault="00000000">
            <w:pPr>
              <w:jc w:val="center"/>
            </w:pPr>
            <w:r>
              <w:rPr>
                <w:sz w:val="20"/>
                <w:szCs w:val="20"/>
              </w:rPr>
              <w:t>Formative feedback</w:t>
            </w:r>
          </w:p>
        </w:tc>
      </w:tr>
      <w:tr w:rsidR="005C0B24" w14:paraId="7EA05CEE" w14:textId="77777777">
        <w:tblPrEx>
          <w:tblCellMar>
            <w:top w:w="0" w:type="dxa"/>
            <w:bottom w:w="0" w:type="dxa"/>
          </w:tblCellMar>
        </w:tblPrEx>
        <w:trPr>
          <w:cantSplit w:val="true"/>
        </w:trPr>
        <w:tc>
          <w:tcPr>
            <w:tcW w:w="1800" w:type="dxa"/>
            <w:tcBorders>
              <w:top w:val="single" w:sz="1" w:space="0" w:color="999999"/>
              <w:left w:val="single" w:sz="1" w:space="0" w:color="999999"/>
              <w:bottom w:val="single" w:sz="1" w:space="0" w:color="999999"/>
              <w:right w:val="single" w:sz="1" w:space="0" w:color="999999"/>
            </w:tcBorders>
            <w:shd w:val="clear" w:color="auto" w:fill="F2F2F2"/>
          </w:tcPr>
          <w:p w14:paraId="70F9654A" w14:textId="77777777" w:rsidR="005C0B24" w:rsidRDefault="00000000">
            <w:pPr>
              <w:jc w:val="center"/>
            </w:pPr>
            <w:r>
              <w:rPr>
                <w:sz w:val="20"/>
                <w:szCs w:val="20"/>
              </w:rPr>
              <w:t>Week 12</w:t>
            </w:r>
          </w:p>
        </w:tc>
        <w:tc>
          <w:tcPr>
            <w:tcW w:w="2800" w:type="dxa"/>
            <w:tcBorders>
              <w:top w:val="single" w:sz="1" w:space="0" w:color="999999"/>
              <w:left w:val="single" w:sz="1" w:space="0" w:color="999999"/>
              <w:bottom w:val="single" w:sz="1" w:space="0" w:color="999999"/>
              <w:right w:val="single" w:sz="1" w:space="0" w:color="999999"/>
            </w:tcBorders>
            <w:shd w:val="clear" w:color="auto" w:fill="F2F2F2"/>
          </w:tcPr>
          <w:p w14:paraId="2AAFC577" w14:textId="77777777" w:rsidR="005C0B24" w:rsidRDefault="00000000">
            <w:r>
              <w:rPr>
                <w:sz w:val="20"/>
                <w:szCs w:val="20"/>
              </w:rPr>
              <w:t>Integrated Design Gate</w:t>
            </w:r>
          </w:p>
        </w:tc>
        <w:tc>
          <w:tcPr>
            <w:tcW w:w="2200" w:type="dxa"/>
            <w:tcBorders>
              <w:top w:val="single" w:sz="1" w:space="0" w:color="999999"/>
              <w:left w:val="single" w:sz="1" w:space="0" w:color="999999"/>
              <w:bottom w:val="single" w:sz="1" w:space="0" w:color="999999"/>
              <w:right w:val="single" w:sz="1" w:space="0" w:color="999999"/>
            </w:tcBorders>
            <w:shd w:val="clear" w:color="auto" w:fill="F2F2F2"/>
          </w:tcPr>
          <w:p w14:paraId="34372A31" w14:textId="77777777" w:rsidR="005C0B24" w:rsidRDefault="00000000">
            <w:r>
              <w:rPr>
                <w:sz w:val="20"/>
                <w:szCs w:val="20"/>
              </w:rPr>
              <w:t>Country/currency diagnosis, financing alternatives, appraisal, additionality, sustainability, safeguards, results, governance, and implementation roadmap</w:t>
            </w:r>
          </w:p>
        </w:tc>
        <w:tc>
          <w:tcPr>
            <w:tcW w:w="2560" w:type="dxa"/>
            <w:tcBorders>
              <w:top w:val="single" w:sz="1" w:space="0" w:color="999999"/>
              <w:left w:val="single" w:sz="1" w:space="0" w:color="999999"/>
              <w:bottom w:val="single" w:sz="1" w:space="0" w:color="999999"/>
              <w:right w:val="single" w:sz="1" w:space="0" w:color="999999"/>
            </w:tcBorders>
            <w:shd w:val="clear" w:color="auto" w:fill="F2F2F2"/>
          </w:tcPr>
          <w:p w14:paraId="435A69F9" w14:textId="77777777" w:rsidR="005C0B24" w:rsidRDefault="00000000">
            <w:pPr>
              <w:jc w:val="center"/>
            </w:pPr>
            <w:r>
              <w:rPr>
                <w:sz w:val="20"/>
                <w:szCs w:val="20"/>
              </w:rPr>
              <w:t>Peer/instructor review</w:t>
            </w:r>
          </w:p>
        </w:tc>
      </w:tr>
      <w:tr w:rsidR="005C0B24" w14:paraId="7C5CBF55" w14:textId="77777777">
        <w:tblPrEx>
          <w:tblCellMar>
            <w:top w:w="0" w:type="dxa"/>
            <w:bottom w:w="0" w:type="dxa"/>
          </w:tblCellMar>
        </w:tblPrEx>
        <w:trPr>
          <w:cantSplit w:val="true"/>
        </w:trPr>
        <w:tc>
          <w:tcPr>
            <w:tcW w:w="1800" w:type="dxa"/>
            <w:tcBorders>
              <w:top w:val="single" w:sz="1" w:space="0" w:color="999999"/>
              <w:left w:val="single" w:sz="1" w:space="0" w:color="999999"/>
              <w:bottom w:val="single" w:sz="1" w:space="0" w:color="999999"/>
              <w:right w:val="single" w:sz="1" w:space="0" w:color="999999"/>
            </w:tcBorders>
          </w:tcPr>
          <w:p w14:paraId="691A10BE" w14:textId="77777777" w:rsidR="005C0B24" w:rsidRDefault="00000000">
            <w:pPr>
              <w:jc w:val="center"/>
            </w:pPr>
            <w:r>
              <w:rPr>
                <w:sz w:val="20"/>
                <w:szCs w:val="20"/>
              </w:rPr>
              <w:t>Week 13</w:t>
            </w:r>
          </w:p>
        </w:tc>
        <w:tc>
          <w:tcPr>
            <w:tcW w:w="2800" w:type="dxa"/>
            <w:tcBorders>
              <w:top w:val="single" w:sz="1" w:space="0" w:color="999999"/>
              <w:left w:val="single" w:sz="1" w:space="0" w:color="999999"/>
              <w:bottom w:val="single" w:sz="1" w:space="0" w:color="999999"/>
              <w:right w:val="single" w:sz="1" w:space="0" w:color="999999"/>
            </w:tcBorders>
          </w:tcPr>
          <w:p w14:paraId="280133A6" w14:textId="77777777" w:rsidR="005C0B24" w:rsidRDefault="00000000">
            <w:r>
              <w:rPr>
                <w:sz w:val="20"/>
                <w:szCs w:val="20"/>
              </w:rPr>
              <w:t>Complete Draft and Challenge</w:t>
            </w:r>
          </w:p>
        </w:tc>
        <w:tc>
          <w:tcPr>
            <w:tcW w:w="2200" w:type="dxa"/>
            <w:tcBorders>
              <w:top w:val="single" w:sz="1" w:space="0" w:color="999999"/>
              <w:left w:val="single" w:sz="1" w:space="0" w:color="999999"/>
              <w:bottom w:val="single" w:sz="1" w:space="0" w:color="999999"/>
              <w:right w:val="single" w:sz="1" w:space="0" w:color="999999"/>
            </w:tcBorders>
          </w:tcPr>
          <w:p w14:paraId="51272CFD" w14:textId="77777777" w:rsidR="005C0B24" w:rsidRDefault="00000000">
            <w:r>
              <w:rPr>
                <w:sz w:val="20"/>
                <w:szCs w:val="20"/>
              </w:rPr>
              <w:t>Complete strategy, financial model, operational exhibits, evidence portfolio, presentation, reflection, and AI record</w:t>
            </w:r>
          </w:p>
        </w:tc>
        <w:tc>
          <w:tcPr>
            <w:tcW w:w="2560" w:type="dxa"/>
            <w:tcBorders>
              <w:top w:val="single" w:sz="1" w:space="0" w:color="999999"/>
              <w:left w:val="single" w:sz="1" w:space="0" w:color="999999"/>
              <w:bottom w:val="single" w:sz="1" w:space="0" w:color="999999"/>
              <w:right w:val="single" w:sz="1" w:space="0" w:color="999999"/>
            </w:tcBorders>
          </w:tcPr>
          <w:p w14:paraId="66F5BCE6" w14:textId="77777777" w:rsidR="005C0B24" w:rsidRDefault="00000000">
            <w:pPr>
              <w:jc w:val="center"/>
            </w:pPr>
            <w:r>
              <w:rPr>
                <w:sz w:val="20"/>
                <w:szCs w:val="20"/>
              </w:rPr>
              <w:t>Instructor feedback</w:t>
            </w:r>
          </w:p>
        </w:tc>
      </w:tr>
      <w:tr w:rsidR="005C0B24" w14:paraId="42968C67" w14:textId="77777777">
        <w:tblPrEx>
          <w:tblCellMar>
            <w:top w:w="0" w:type="dxa"/>
            <w:bottom w:w="0" w:type="dxa"/>
          </w:tblCellMar>
        </w:tblPrEx>
        <w:trPr>
          <w:cantSplit w:val="true"/>
        </w:trPr>
        <w:tc>
          <w:tcPr>
            <w:tcW w:w="1800" w:type="dxa"/>
            <w:tcBorders>
              <w:top w:val="single" w:sz="1" w:space="0" w:color="999999"/>
              <w:left w:val="single" w:sz="1" w:space="0" w:color="999999"/>
              <w:bottom w:val="single" w:sz="1" w:space="0" w:color="999999"/>
              <w:right w:val="single" w:sz="1" w:space="0" w:color="999999"/>
            </w:tcBorders>
            <w:shd w:val="clear" w:color="auto" w:fill="F2F2F2"/>
          </w:tcPr>
          <w:p w14:paraId="0D2522C8" w14:textId="77777777" w:rsidR="005C0B24" w:rsidRDefault="00000000">
            <w:pPr>
              <w:jc w:val="center"/>
            </w:pPr>
            <w:r>
              <w:rPr>
                <w:sz w:val="20"/>
                <w:szCs w:val="20"/>
              </w:rPr>
              <w:t>Week 14</w:t>
            </w:r>
          </w:p>
        </w:tc>
        <w:tc>
          <w:tcPr>
            <w:tcW w:w="2800" w:type="dxa"/>
            <w:tcBorders>
              <w:top w:val="single" w:sz="1" w:space="0" w:color="999999"/>
              <w:left w:val="single" w:sz="1" w:space="0" w:color="999999"/>
              <w:bottom w:val="single" w:sz="1" w:space="0" w:color="999999"/>
              <w:right w:val="single" w:sz="1" w:space="0" w:color="999999"/>
            </w:tcBorders>
            <w:shd w:val="clear" w:color="auto" w:fill="F2F2F2"/>
          </w:tcPr>
          <w:p w14:paraId="64B412B8" w14:textId="77777777" w:rsidR="005C0B24" w:rsidRDefault="00000000">
            <w:r>
              <w:rPr>
                <w:sz w:val="20"/>
                <w:szCs w:val="20"/>
              </w:rPr>
              <w:t>Final Presentation and Defence</w:t>
            </w:r>
          </w:p>
        </w:tc>
        <w:tc>
          <w:tcPr>
            <w:tcW w:w="2200" w:type="dxa"/>
            <w:tcBorders>
              <w:top w:val="single" w:sz="1" w:space="0" w:color="999999"/>
              <w:left w:val="single" w:sz="1" w:space="0" w:color="999999"/>
              <w:bottom w:val="single" w:sz="1" w:space="0" w:color="999999"/>
              <w:right w:val="single" w:sz="1" w:space="0" w:color="999999"/>
            </w:tcBorders>
            <w:shd w:val="clear" w:color="auto" w:fill="F2F2F2"/>
          </w:tcPr>
          <w:p w14:paraId="6B3F024B" w14:textId="77777777" w:rsidR="005C0B24" w:rsidRDefault="00000000">
            <w:r>
              <w:rPr>
                <w:sz w:val="20"/>
                <w:szCs w:val="20"/>
              </w:rPr>
              <w:t>Final strategy, auditable model, evidence portfolio, executive presentation, and individual defence</w:t>
            </w:r>
          </w:p>
        </w:tc>
        <w:tc>
          <w:tcPr>
            <w:tcW w:w="2560" w:type="dxa"/>
            <w:tcBorders>
              <w:top w:val="single" w:sz="1" w:space="0" w:color="999999"/>
              <w:left w:val="single" w:sz="1" w:space="0" w:color="999999"/>
              <w:bottom w:val="single" w:sz="1" w:space="0" w:color="999999"/>
              <w:right w:val="single" w:sz="1" w:space="0" w:color="999999"/>
            </w:tcBorders>
            <w:shd w:val="clear" w:color="auto" w:fill="F2F2F2"/>
          </w:tcPr>
          <w:p w14:paraId="6B47F533" w14:textId="77777777" w:rsidR="005C0B24" w:rsidRDefault="00000000">
            <w:pPr>
              <w:jc w:val="center"/>
            </w:pPr>
            <w:r>
              <w:rPr>
                <w:sz w:val="20"/>
                <w:szCs w:val="20"/>
              </w:rPr>
              <w:t>40% of final grade</w:t>
            </w:r>
          </w:p>
        </w:tc>
      </w:tr>
    </w:tbl>
    <w:p w14:paraId="24953465" w14:textId="77777777" w:rsidR="005C0B24" w:rsidRDefault="005C0B24"/>
    <w:p w14:paraId="0B07CC87" w14:textId="77777777" w:rsidR="005C0B24" w:rsidRDefault="00000000">
      <w:pPr>
        <w:pageBreakBefore w:val="0"/>
      </w:pPr>
      <w:r/>
    </w:p>
    <w:p w14:paraId="453E159C" w14:textId="77777777" w:rsidR="005C0B24" w:rsidRDefault="00000000">
      <w:pPr>
        <w:pStyle w:val="Heading2"/>
        <w:keepNext/>
      </w:pPr>
      <w:r>
        <w:t>8.5 Final Project Grading Rubric</w:t>
      </w:r>
    </w:p>
    <w:p w14:paraId="79CFCED8" w14:textId="77777777" w:rsidR="005C0B24" w:rsidRDefault="00000000">
      <w:pPr>
        <w:pStyle w:val="Heading3"/>
      </w:pPr>
      <w:r>
        <w:t>International Financing &amp; Development Impact Strategy Written/Applied Portfolio (70% of Final Project Grade)</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43"/>
        <w:gridCol w:w="1894"/>
        <w:gridCol w:w="1892"/>
        <w:gridCol w:w="1894"/>
        <w:gridCol w:w="1701"/>
      </w:tblGrid>
      <w:tr w:rsidR="005C0B24" w14:paraId="2879C52D"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343F381E" w14:textId="77777777" w:rsidR="005C0B24" w:rsidRDefault="00000000">
            <w:pPr>
              <w:jc w:val="center"/>
            </w:pPr>
            <w:r>
              <w:rPr>
                <w:b/>
                <w:bCs/>
                <w:color w:val="FFFFFF"/>
                <w:sz w:val="17"/>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7858B647" w14:textId="77777777" w:rsidR="005C0B24" w:rsidRDefault="00000000">
            <w:pPr>
              <w:jc w:val="center"/>
            </w:pPr>
            <w:r>
              <w:rPr>
                <w:b/>
                <w:bCs/>
                <w:color w:val="FFFFFF"/>
                <w:sz w:val="17"/>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7E55CAC2" w14:textId="77777777" w:rsidR="005C0B24" w:rsidRDefault="00000000">
            <w:pPr>
              <w:jc w:val="center"/>
            </w:pPr>
            <w:r>
              <w:rPr>
                <w:b/>
                <w:bCs/>
                <w:color w:val="FFFFFF"/>
                <w:sz w:val="17"/>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3C50762E" w14:textId="77777777" w:rsidR="005C0B24" w:rsidRDefault="00000000">
            <w:pPr>
              <w:jc w:val="center"/>
            </w:pPr>
            <w:r>
              <w:rPr>
                <w:b/>
                <w:bCs/>
                <w:color w:val="FFFFFF"/>
                <w:sz w:val="17"/>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75D2865E" w14:textId="77777777" w:rsidR="005C0B24" w:rsidRDefault="00000000">
            <w:pPr>
              <w:jc w:val="center"/>
            </w:pPr>
            <w:r>
              <w:rPr>
                <w:b/>
                <w:bCs/>
                <w:color w:val="FFFFFF"/>
                <w:sz w:val="17"/>
                <w:szCs w:val="20"/>
              </w:rPr>
              <w:t>Needs Improvement (1)</w:t>
            </w:r>
          </w:p>
        </w:tc>
      </w:tr>
      <w:tr w:rsidR="005C0B24" w14:paraId="266AE8C3"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628E2118" w14:textId="77777777" w:rsidR="005C0B24" w:rsidRDefault="00000000">
            <w:r>
              <w:rPr>
                <w:b/>
                <w:bCs/>
                <w:sz w:val="17"/>
                <w:szCs w:val="20"/>
              </w:rPr>
              <w:t>International and Country Diagnosis (15%)</w:t>
            </w:r>
          </w:p>
        </w:tc>
        <w:tc>
          <w:tcPr>
            <w:tcW w:w="2000" w:type="dxa"/>
            <w:tcBorders>
              <w:top w:val="single" w:sz="1" w:space="0" w:color="999999"/>
              <w:left w:val="single" w:sz="1" w:space="0" w:color="999999"/>
              <w:bottom w:val="single" w:sz="1" w:space="0" w:color="999999"/>
              <w:right w:val="single" w:sz="1" w:space="0" w:color="999999"/>
            </w:tcBorders>
          </w:tcPr>
          <w:p w14:paraId="01987615" w14:textId="77777777" w:rsidR="005C0B24" w:rsidRDefault="00000000">
            <w:r>
              <w:rPr>
                <w:sz w:val="17"/>
                <w:szCs w:val="20"/>
              </w:rPr>
              <w:t>Decision-ready monetary, external, currency, capital-flow, country, sovereign, stakeholder, and scenario evidence is integrated</w:t>
            </w:r>
          </w:p>
        </w:tc>
        <w:tc>
          <w:tcPr>
            <w:tcW w:w="2000" w:type="dxa"/>
            <w:tcBorders>
              <w:top w:val="single" w:sz="1" w:space="0" w:color="999999"/>
              <w:left w:val="single" w:sz="1" w:space="0" w:color="999999"/>
              <w:bottom w:val="single" w:sz="1" w:space="0" w:color="999999"/>
              <w:right w:val="single" w:sz="1" w:space="0" w:color="999999"/>
            </w:tcBorders>
          </w:tcPr>
          <w:p w14:paraId="50F6A75E"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217FB3A4"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3B1B6E80" w14:textId="77777777" w:rsidR="005C0B24" w:rsidRDefault="00000000">
            <w:r>
              <w:rPr>
                <w:sz w:val="17"/>
                <w:szCs w:val="20"/>
              </w:rPr>
              <w:t>Incomplete, inaccurate, weakly supported, or not decision-ready</w:t>
            </w:r>
          </w:p>
        </w:tc>
      </w:tr>
      <w:tr w:rsidR="005C0B24" w14:paraId="5E13B276"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6E704685" w14:textId="77777777" w:rsidR="005C0B24" w:rsidRDefault="00000000">
            <w:r>
              <w:rPr>
                <w:b/>
                <w:bCs/>
                <w:sz w:val="17"/>
                <w:szCs w:val="20"/>
              </w:rPr>
              <w:t>Financing and Instrument Design (15%)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44E59AB" w14:textId="77777777" w:rsidR="005C0B24" w:rsidRDefault="00000000">
            <w:r>
              <w:rPr>
                <w:sz w:val="17"/>
                <w:szCs w:val="20"/>
              </w:rPr>
              <w:t>Alternatives, currency, tenor, pricing, capital, guarantees, risk allocation, concessionality, mobilization, and rationale are coherent</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2CD2F0FB"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3738A54"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728E7461" w14:textId="77777777" w:rsidR="005C0B24" w:rsidRDefault="00000000">
            <w:r>
              <w:rPr>
                <w:sz w:val="17"/>
                <w:szCs w:val="20"/>
              </w:rPr>
              <w:t>Incomplete, inaccurate, weakly supported, or not decision-ready</w:t>
            </w:r>
          </w:p>
        </w:tc>
      </w:tr>
      <w:tr w:rsidR="005C0B24" w14:paraId="479A9871"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4B23135" w14:textId="77777777" w:rsidR="005C0B24" w:rsidRDefault="00000000">
            <w:r>
              <w:rPr>
                <w:b/>
                <w:bCs/>
                <w:sz w:val="17"/>
                <w:szCs w:val="20"/>
              </w:rPr>
              <w:t>Financial and Economic Appraisal (15%)</w:t>
            </w:r>
          </w:p>
        </w:tc>
        <w:tc>
          <w:tcPr>
            <w:tcW w:w="2000" w:type="dxa"/>
            <w:tcBorders>
              <w:top w:val="single" w:sz="1" w:space="0" w:color="999999"/>
              <w:left w:val="single" w:sz="1" w:space="0" w:color="999999"/>
              <w:bottom w:val="single" w:sz="1" w:space="0" w:color="999999"/>
              <w:right w:val="single" w:sz="1" w:space="0" w:color="999999"/>
            </w:tcBorders>
          </w:tcPr>
          <w:p w14:paraId="33169E03" w14:textId="77777777" w:rsidR="005C0B24" w:rsidRDefault="00000000">
            <w:r>
              <w:rPr>
                <w:sz w:val="17"/>
                <w:szCs w:val="20"/>
              </w:rPr>
              <w:t>Cash flows, valuation, returns, affordability, fiscal or balance-sheet effects, cost of capital, sensitivities, and stress tests are credible</w:t>
            </w:r>
          </w:p>
        </w:tc>
        <w:tc>
          <w:tcPr>
            <w:tcW w:w="2000" w:type="dxa"/>
            <w:tcBorders>
              <w:top w:val="single" w:sz="1" w:space="0" w:color="999999"/>
              <w:left w:val="single" w:sz="1" w:space="0" w:color="999999"/>
              <w:bottom w:val="single" w:sz="1" w:space="0" w:color="999999"/>
              <w:right w:val="single" w:sz="1" w:space="0" w:color="999999"/>
            </w:tcBorders>
          </w:tcPr>
          <w:p w14:paraId="05B8B82D"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1A7E5D15"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7CC5B416" w14:textId="77777777" w:rsidR="005C0B24" w:rsidRDefault="00000000">
            <w:r>
              <w:rPr>
                <w:sz w:val="17"/>
                <w:szCs w:val="20"/>
              </w:rPr>
              <w:t>Incomplete, inaccurate, weakly supported, or not decision-ready</w:t>
            </w:r>
            <w:proofErr w:type="gramStart"/>
            <w:r>
              <w:rPr>
                <w:sz w:val="17"/>
                <w:szCs w:val="20"/>
              </w:rPr>
            </w:r>
            <w:proofErr w:type="gramEnd"/>
            <w:r>
              <w:rPr>
                <w:sz w:val="17"/>
                <w:szCs w:val="20"/>
              </w:rPr>
            </w:r>
          </w:p>
        </w:tc>
      </w:tr>
      <w:tr w:rsidR="005C0B24" w14:paraId="632B720D"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10D708FC" w14:textId="77777777" w:rsidR="005C0B24" w:rsidRDefault="00000000">
            <w:r>
              <w:rPr>
                <w:b/>
                <w:bCs/>
                <w:sz w:val="17"/>
                <w:szCs w:val="20"/>
              </w:rPr>
              <w:t>Additionality, Sustainability &amp; Results (15%)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24806E89" w14:textId="77777777" w:rsidR="005C0B24" w:rsidRDefault="00000000">
            <w:r>
              <w:rPr>
                <w:sz w:val="17"/>
                <w:szCs w:val="20"/>
              </w:rPr>
              <w:t>Theory of change, additionality, climate/nature, inclusion, gender, distribution, indicators, attribution, and learning are integrated</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E1D4014"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33035F3"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1B92A0B1" w14:textId="77777777" w:rsidR="005C0B24" w:rsidRDefault="00000000">
            <w:r>
              <w:rPr>
                <w:sz w:val="17"/>
                <w:szCs w:val="20"/>
              </w:rPr>
              <w:t>Incomplete, inaccurate, weakly supported, or not decision-ready</w:t>
            </w:r>
          </w:p>
        </w:tc>
      </w:tr>
      <w:tr w:rsidR="005C0B24" w14:paraId="12A6AEBA"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14C34F11" w14:textId="77777777" w:rsidR="005C0B24" w:rsidRDefault="00000000">
            <w:r>
              <w:rPr>
                <w:b/>
                <w:bCs/>
                <w:sz w:val="17"/>
                <w:szCs w:val="20"/>
              </w:rPr>
              <w:t>Safeguards, Integrity &amp; Accountability (15%)</w:t>
            </w:r>
          </w:p>
        </w:tc>
        <w:tc>
          <w:tcPr>
            <w:tcW w:w="2000" w:type="dxa"/>
            <w:tcBorders>
              <w:top w:val="single" w:sz="1" w:space="0" w:color="999999"/>
              <w:left w:val="single" w:sz="1" w:space="0" w:color="999999"/>
              <w:bottom w:val="single" w:sz="1" w:space="0" w:color="999999"/>
              <w:right w:val="single" w:sz="1" w:space="0" w:color="999999"/>
            </w:tcBorders>
          </w:tcPr>
          <w:p w14:paraId="23BCF9B2" w14:textId="77777777" w:rsidR="005C0B24" w:rsidRDefault="00000000">
            <w:r>
              <w:rPr>
                <w:sz w:val="17"/>
                <w:szCs w:val="20"/>
              </w:rPr>
              <w:t>Environmental/social risk, engagement, grievance, procurement, fiduciary controls, integrity, disclosure, remedy, and accountability are rigorous</w:t>
            </w:r>
          </w:p>
        </w:tc>
        <w:tc>
          <w:tcPr>
            <w:tcW w:w="2000" w:type="dxa"/>
            <w:tcBorders>
              <w:top w:val="single" w:sz="1" w:space="0" w:color="999999"/>
              <w:left w:val="single" w:sz="1" w:space="0" w:color="999999"/>
              <w:bottom w:val="single" w:sz="1" w:space="0" w:color="999999"/>
              <w:right w:val="single" w:sz="1" w:space="0" w:color="999999"/>
            </w:tcBorders>
          </w:tcPr>
          <w:p w14:paraId="23C3F62F"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2FC83EB8"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301AE3EC" w14:textId="77777777" w:rsidR="005C0B24" w:rsidRDefault="00000000">
            <w:r>
              <w:rPr>
                <w:sz w:val="17"/>
                <w:szCs w:val="20"/>
              </w:rPr>
              <w:t>Incomplete, inaccurate, weakly supported, or not decision-ready</w:t>
            </w:r>
          </w:p>
        </w:tc>
      </w:tr>
      <w:tr w:rsidR="005C0B24" w14:paraId="387A04E9"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1F89CED1" w14:textId="77777777" w:rsidR="005C0B24" w:rsidRDefault="00000000">
            <w:r>
              <w:rPr>
                <w:b/>
                <w:bCs/>
                <w:sz w:val="17"/>
                <w:szCs w:val="20"/>
              </w:rPr>
              <w:t>Operations, Governance &amp; Implementation (15%)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04CFF914" w14:textId="77777777" w:rsidR="005C0B24" w:rsidRDefault="00000000">
            <w:r>
              <w:rPr>
                <w:sz w:val="17"/>
                <w:szCs w:val="20"/>
              </w:rPr>
              <w:t>Project cycle, approvals, conditions, disbursement, capacity, owners, supervision, monitoring, evaluation, restructuring, and exit are actionable</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9931CE1"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5BC7A872"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15960CE9" w14:textId="77777777" w:rsidR="005C0B24" w:rsidRDefault="00000000">
            <w:r>
              <w:rPr>
                <w:sz w:val="17"/>
                <w:szCs w:val="20"/>
              </w:rPr>
              <w:t>Incomplete, inaccurate, weakly supported, or not decision-ready</w:t>
            </w:r>
          </w:p>
        </w:tc>
      </w:tr>
      <w:tr w:rsidR="005C0B24" w14:paraId="2CBCBB84"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C1B3650" w14:textId="77777777" w:rsidR="005C0B24" w:rsidRDefault="00000000">
            <w:r>
              <w:rPr>
                <w:b/>
                <w:bCs/>
                <w:sz w:val="17"/>
                <w:szCs w:val="20"/>
              </w:rPr>
              <w:t>Evidence, Models, Limitations, AI &amp; Professional Quality (10%)</w:t>
            </w:r>
          </w:p>
        </w:tc>
        <w:tc>
          <w:tcPr>
            <w:tcW w:w="2000" w:type="dxa"/>
            <w:tcBorders>
              <w:top w:val="single" w:sz="1" w:space="0" w:color="999999"/>
              <w:left w:val="single" w:sz="1" w:space="0" w:color="999999"/>
              <w:bottom w:val="single" w:sz="1" w:space="0" w:color="999999"/>
              <w:right w:val="single" w:sz="1" w:space="0" w:color="999999"/>
            </w:tcBorders>
          </w:tcPr>
          <w:p w14:paraId="7AFF6277" w14:textId="77777777" w:rsidR="005C0B24" w:rsidRDefault="00000000">
            <w:r>
              <w:rPr>
                <w:sz w:val="17"/>
                <w:szCs w:val="20"/>
              </w:rPr>
              <w:t>Executive-ready, current, reproducible, calibrated, accessible, and transparently disclosed</w:t>
            </w:r>
          </w:p>
        </w:tc>
        <w:tc>
          <w:tcPr>
            <w:tcW w:w="2000" w:type="dxa"/>
            <w:tcBorders>
              <w:top w:val="single" w:sz="1" w:space="0" w:color="999999"/>
              <w:left w:val="single" w:sz="1" w:space="0" w:color="999999"/>
              <w:bottom w:val="single" w:sz="1" w:space="0" w:color="999999"/>
              <w:right w:val="single" w:sz="1" w:space="0" w:color="999999"/>
            </w:tcBorders>
          </w:tcPr>
          <w:p w14:paraId="32717368"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45652024"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538EEA3B" w14:textId="77777777" w:rsidR="005C0B24" w:rsidRDefault="00000000">
            <w:r>
              <w:rPr>
                <w:sz w:val="17"/>
                <w:szCs w:val="20"/>
              </w:rPr>
              <w:t>Incomplete, inaccurate, weakly supported, or not decision-ready</w:t>
            </w:r>
          </w:p>
        </w:tc>
      </w:tr>
    </w:tbl>
    <w:p w14:paraId="5F7287E0" w14:textId="77777777" w:rsidR="005C0B24" w:rsidRDefault="005C0B24"/>
    <w:p w14:paraId="47D37CCF" w14:textId="77777777" w:rsidR="005C0B24" w:rsidRDefault="00000000">
      <w:pPr>
        <w:pStyle w:val="Heading3"/>
      </w:pPr>
      <w:r>
        <w:t>Executive Presentation and Individual Oral Defence (30% of Final Project Grade)</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31"/>
        <w:gridCol w:w="1923"/>
        <w:gridCol w:w="1937"/>
        <w:gridCol w:w="1910"/>
        <w:gridCol w:w="1723"/>
      </w:tblGrid>
      <w:tr w:rsidR="005C0B24" w14:paraId="0D3B5136"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1767E246" w14:textId="77777777" w:rsidR="005C0B24" w:rsidRDefault="00000000">
            <w:pPr>
              <w:jc w:val="center"/>
            </w:pPr>
            <w:r>
              <w:rPr>
                <w:b/>
                <w:bCs/>
                <w:color w:val="FFFFFF"/>
                <w:sz w:val="20"/>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07605F71" w14:textId="77777777" w:rsidR="005C0B24" w:rsidRDefault="00000000">
            <w:pPr>
              <w:jc w:val="center"/>
            </w:pPr>
            <w:r>
              <w:rPr>
                <w:b/>
                <w:bCs/>
                <w:color w:val="FFFFFF"/>
                <w:sz w:val="20"/>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173A1485" w14:textId="77777777" w:rsidR="005C0B24" w:rsidRDefault="00000000">
            <w:pPr>
              <w:jc w:val="center"/>
            </w:pPr>
            <w:r>
              <w:rPr>
                <w:b/>
                <w:bCs/>
                <w:color w:val="FFFFFF"/>
                <w:sz w:val="20"/>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2A31FB13" w14:textId="77777777" w:rsidR="005C0B24" w:rsidRDefault="00000000">
            <w:pPr>
              <w:jc w:val="center"/>
            </w:pPr>
            <w:r>
              <w:rPr>
                <w:b/>
                <w:bCs/>
                <w:color w:val="FFFFFF"/>
                <w:sz w:val="20"/>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5A79C9B0" w14:textId="77777777" w:rsidR="005C0B24" w:rsidRDefault="00000000">
            <w:pPr>
              <w:jc w:val="center"/>
            </w:pPr>
            <w:r>
              <w:rPr>
                <w:b/>
                <w:bCs/>
                <w:color w:val="FFFFFF"/>
                <w:sz w:val="20"/>
                <w:szCs w:val="20"/>
              </w:rPr>
              <w:t>Needs Improvement (1)</w:t>
            </w:r>
          </w:p>
        </w:tc>
      </w:tr>
      <w:tr w:rsidR="005C0B24" w14:paraId="10F17FAE"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7A74A27" w14:textId="77777777" w:rsidR="005C0B24" w:rsidRDefault="00000000">
            <w:r>
              <w:rPr>
                <w:b/>
                <w:bCs/>
                <w:sz w:val="20"/>
                <w:szCs w:val="20"/>
              </w:rPr>
              <w:t>Decision and Financing Narrative (30%)</w:t>
            </w:r>
          </w:p>
        </w:tc>
        <w:tc>
          <w:tcPr>
            <w:tcW w:w="2000" w:type="dxa"/>
            <w:tcBorders>
              <w:top w:val="single" w:sz="1" w:space="0" w:color="999999"/>
              <w:left w:val="single" w:sz="1" w:space="0" w:color="999999"/>
              <w:bottom w:val="single" w:sz="1" w:space="0" w:color="999999"/>
              <w:right w:val="single" w:sz="1" w:space="0" w:color="999999"/>
            </w:tcBorders>
          </w:tcPr>
          <w:p w14:paraId="27D4833A" w14:textId="77777777" w:rsidR="005C0B24" w:rsidRDefault="00000000">
            <w:r>
              <w:rPr>
                <w:sz w:val="20"/>
                <w:szCs w:val="20"/>
              </w:rPr>
              <w:t>Compelling narrative connects country evidence, need, instrument, appraisal, additionality, sustainability, safeguards, and implementation</w:t>
            </w:r>
          </w:p>
        </w:tc>
        <w:tc>
          <w:tcPr>
            <w:tcW w:w="2000" w:type="dxa"/>
            <w:tcBorders>
              <w:top w:val="single" w:sz="1" w:space="0" w:color="999999"/>
              <w:left w:val="single" w:sz="1" w:space="0" w:color="999999"/>
              <w:bottom w:val="single" w:sz="1" w:space="0" w:color="999999"/>
              <w:right w:val="single" w:sz="1" w:space="0" w:color="999999"/>
            </w:tcBorders>
          </w:tcPr>
          <w:p w14:paraId="1EBAFF5F"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06E394F0"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63D58238" w14:textId="77777777" w:rsidR="005C0B24" w:rsidRDefault="00000000">
            <w:r>
              <w:rPr>
                <w:sz w:val="20"/>
                <w:szCs w:val="20"/>
              </w:rPr>
              <w:t>Incomplete, inaccurate, weakly supported, or not decision-ready</w:t>
            </w:r>
          </w:p>
        </w:tc>
      </w:tr>
      <w:tr w:rsidR="005C0B24" w14:paraId="7D940447"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1BBBE7D1" w14:textId="77777777" w:rsidR="005C0B24" w:rsidRDefault="00000000">
            <w:r>
              <w:rPr>
                <w:b/>
                <w:bCs/>
                <w:sz w:val="20"/>
                <w:szCs w:val="20"/>
              </w:rPr>
              <w:t>Financial, Risk &amp; Impact Visuals (25%)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2B8F9D8" w14:textId="77777777" w:rsidR="005C0B24" w:rsidRDefault="00000000">
            <w:r>
              <w:rPr>
                <w:sz w:val="20"/>
                <w:szCs w:val="20"/>
              </w:rPr>
              <w:t>Accurate, accessible visuals make cash flows, currency, scenarios, risk allocation, results, controls, and roadmap understandable</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5D55A0CB"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90676F8"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480EDF29" w14:textId="77777777" w:rsidR="005C0B24" w:rsidRDefault="00000000">
            <w:r>
              <w:rPr>
                <w:sz w:val="20"/>
                <w:szCs w:val="20"/>
              </w:rPr>
              <w:t>Incomplete, inaccurate, weakly supported, or not decision-ready</w:t>
            </w:r>
          </w:p>
        </w:tc>
      </w:tr>
      <w:tr w:rsidR="005C0B24" w14:paraId="401D78DB"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2751693" w14:textId="77777777" w:rsidR="005C0B24" w:rsidRDefault="00000000">
            <w:r>
              <w:rPr>
                <w:b/>
                <w:bCs/>
                <w:sz w:val="20"/>
                <w:szCs w:val="20"/>
              </w:rPr>
              <w:t>Executive &amp; Intercultural Presence (20%)</w:t>
            </w:r>
          </w:p>
        </w:tc>
        <w:tc>
          <w:tcPr>
            <w:tcW w:w="2000" w:type="dxa"/>
            <w:tcBorders>
              <w:top w:val="single" w:sz="1" w:space="0" w:color="999999"/>
              <w:left w:val="single" w:sz="1" w:space="0" w:color="999999"/>
              <w:bottom w:val="single" w:sz="1" w:space="0" w:color="999999"/>
              <w:right w:val="single" w:sz="1" w:space="0" w:color="999999"/>
            </w:tcBorders>
          </w:tcPr>
          <w:p w14:paraId="50EFC5C4" w14:textId="77777777" w:rsidR="005C0B24" w:rsidRDefault="00000000">
            <w:r>
              <w:rPr>
                <w:sz w:val="20"/>
                <w:szCs w:val="20"/>
              </w:rPr>
              <w:t>Confident, concise, accessible, and responsive to clients, governments, communities, investors, and governing bodies</w:t>
            </w:r>
          </w:p>
        </w:tc>
        <w:tc>
          <w:tcPr>
            <w:tcW w:w="2000" w:type="dxa"/>
            <w:tcBorders>
              <w:top w:val="single" w:sz="1" w:space="0" w:color="999999"/>
              <w:left w:val="single" w:sz="1" w:space="0" w:color="999999"/>
              <w:bottom w:val="single" w:sz="1" w:space="0" w:color="999999"/>
              <w:right w:val="single" w:sz="1" w:space="0" w:color="999999"/>
            </w:tcBorders>
          </w:tcPr>
          <w:p w14:paraId="1982CB2B"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49B8F7BA"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580482DF" w14:textId="77777777" w:rsidR="005C0B24" w:rsidRDefault="00000000">
            <w:r>
              <w:rPr>
                <w:sz w:val="20"/>
                <w:szCs w:val="20"/>
              </w:rPr>
              <w:t>Incomplete, inaccurate, weakly supported, or not decision-ready</w:t>
            </w:r>
          </w:p>
        </w:tc>
      </w:tr>
      <w:tr w:rsidR="005C0B24" w14:paraId="0E8B7F55"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45B24D37" w14:textId="77777777" w:rsidR="005C0B24" w:rsidRDefault="00000000">
            <w:r>
              <w:rPr>
                <w:b/>
                <w:bCs/>
                <w:sz w:val="20"/>
                <w:szCs w:val="20"/>
              </w:rPr>
              <w:t>Oral Defence (25%)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44900C8" w14:textId="77777777" w:rsidR="005C0B24" w:rsidRDefault="00000000">
            <w:r>
              <w:rPr>
                <w:sz w:val="20"/>
                <w:szCs w:val="20"/>
              </w:rPr>
              <w:t>Responses demonstrate independent mastery of evidence, finance, development-bank operations, safeguards, governance, and limits</w:t>
            </w:r>
            <w:proofErr w:type="gramStart"/>
            <w:r>
              <w:rPr>
                <w:sz w:val="20"/>
                <w:szCs w:val="20"/>
              </w:rPr>
            </w:r>
            <w:proofErr w:type="gramEnd"/>
            <w:r>
              <w:rPr>
                <w:sz w:val="20"/>
                <w:szCs w:val="20"/>
              </w:rPr>
            </w:r>
            <w:proofErr w:type="gramStart"/>
            <w:r>
              <w:rPr>
                <w:sz w:val="20"/>
                <w:szCs w:val="20"/>
              </w:rPr>
            </w:r>
            <w:proofErr w:type="gramEnd"/>
            <w:r>
              <w:rPr>
                <w:sz w:val="20"/>
                <w:szCs w:val="20"/>
              </w:rPr>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5FAFF5A3"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C6F4727"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5409944F" w14:textId="77777777" w:rsidR="005C0B24" w:rsidRDefault="00000000">
            <w:r>
              <w:rPr>
                <w:sz w:val="20"/>
                <w:szCs w:val="20"/>
              </w:rPr>
              <w:t>Incomplete, inaccurate, weakly supported, or not decision-ready</w:t>
            </w:r>
          </w:p>
        </w:tc>
      </w:tr>
    </w:tbl>
    <w:p w14:paraId="18A0912F" w14:textId="77777777" w:rsidR="005C0B24" w:rsidRDefault="005C0B24"/>
    <w:p w14:paraId="62EE7F7B" w14:textId="77777777" w:rsidR="005C0B24" w:rsidRDefault="00000000">
      <w:pPr>
        <w:pageBreakBefore w:val="0"/>
      </w:pPr>
      <w:r/>
    </w:p>
    <w:p w14:paraId="729D6F7E" w14:textId="77777777" w:rsidR="005C0B24" w:rsidRDefault="00000000">
      <w:pPr>
        <w:pStyle w:val="Heading1"/>
      </w:pPr>
      <w:r>
        <w:t>9. Course Learning Outcomes and Assessment Alignment</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32"/>
        <w:gridCol w:w="1411"/>
        <w:gridCol w:w="1411"/>
        <w:gridCol w:w="1411"/>
        <w:gridCol w:w="1411"/>
        <w:gridCol w:w="1411"/>
      </w:tblGrid>
      <w:tr w:rsidR="005C0B24" w14:paraId="60AD693A" w14:textId="77777777">
        <w:tblPrEx>
          <w:tblCellMar>
            <w:top w:w="0" w:type="dxa"/>
            <w:bottom w:w="0" w:type="dxa"/>
          </w:tblCellMar>
        </w:tblPrEx>
        <w:trPr>
          <w:tblHeader w:val="true"/>
          <w:cantSplit w:val="true"/>
        </w:trPr>
        <w:tc>
          <w:tcPr>
            <w:tcW w:w="2232" w:type="dxa"/>
            <w:tcBorders>
              <w:top w:val="single" w:sz="1" w:space="0" w:color="999999"/>
              <w:left w:val="single" w:sz="1" w:space="0" w:color="999999"/>
              <w:bottom w:val="single" w:sz="1" w:space="0" w:color="999999"/>
              <w:right w:val="single" w:sz="1" w:space="0" w:color="999999"/>
            </w:tcBorders>
            <w:shd w:val="clear" w:color="auto" w:fill="1F4E79"/>
          </w:tcPr>
          <w:p w14:paraId="1CCB1E80" w14:textId="77777777" w:rsidR="005C0B24" w:rsidRDefault="00000000">
            <w:pPr>
              <w:jc w:val="center"/>
            </w:pPr>
            <w:r>
              <w:rPr>
                <w:b/>
                <w:bCs/>
                <w:color w:val="FFFFFF"/>
                <w:sz w:val="20"/>
                <w:szCs w:val="20"/>
              </w:rPr>
              <w:t>CLO / Assessment</w:t>
            </w:r>
          </w:p>
        </w:tc>
        <w:tc>
          <w:tcPr>
            <w:tcW w:w="1411" w:type="dxa"/>
            <w:tcBorders>
              <w:top w:val="single" w:sz="1" w:space="0" w:color="999999"/>
              <w:left w:val="single" w:sz="1" w:space="0" w:color="999999"/>
              <w:bottom w:val="single" w:sz="1" w:space="0" w:color="999999"/>
              <w:right w:val="single" w:sz="1" w:space="0" w:color="999999"/>
            </w:tcBorders>
            <w:shd w:val="clear" w:color="auto" w:fill="1F4E79"/>
          </w:tcPr>
          <w:p w14:paraId="375DD35E" w14:textId="77777777" w:rsidR="005C0B24" w:rsidRDefault="00000000">
            <w:pPr>
              <w:jc w:val="center"/>
            </w:pPr>
            <w:r>
              <w:rPr>
                <w:b/>
                <w:bCs/>
                <w:color w:val="FFFFFF"/>
                <w:sz w:val="20"/>
                <w:szCs w:val="20"/>
              </w:rPr>
              <w:t>Labs</w:t>
            </w:r>
          </w:p>
        </w:tc>
        <w:tc>
          <w:tcPr>
            <w:tcW w:w="1411" w:type="dxa"/>
            <w:tcBorders>
              <w:top w:val="single" w:sz="1" w:space="0" w:color="999999"/>
              <w:left w:val="single" w:sz="1" w:space="0" w:color="999999"/>
              <w:bottom w:val="single" w:sz="1" w:space="0" w:color="999999"/>
              <w:right w:val="single" w:sz="1" w:space="0" w:color="999999"/>
            </w:tcBorders>
            <w:shd w:val="clear" w:color="auto" w:fill="1F4E79"/>
          </w:tcPr>
          <w:p w14:paraId="25827FD6" w14:textId="77777777" w:rsidR="005C0B24" w:rsidRDefault="00000000">
            <w:pPr>
              <w:jc w:val="center"/>
            </w:pPr>
            <w:r>
              <w:rPr>
                <w:b/>
                <w:bCs/>
                <w:color w:val="FFFFFF"/>
                <w:sz w:val="20"/>
                <w:szCs w:val="20"/>
              </w:rPr>
              <w:t>Diagnostic</w:t>
            </w:r>
          </w:p>
        </w:tc>
        <w:tc>
          <w:tcPr>
            <w:tcW w:w="1411" w:type="dxa"/>
            <w:tcBorders>
              <w:top w:val="single" w:sz="1" w:space="0" w:color="999999"/>
              <w:left w:val="single" w:sz="1" w:space="0" w:color="999999"/>
              <w:bottom w:val="single" w:sz="1" w:space="0" w:color="999999"/>
              <w:right w:val="single" w:sz="1" w:space="0" w:color="999999"/>
            </w:tcBorders>
            <w:shd w:val="clear" w:color="auto" w:fill="1F4E79"/>
          </w:tcPr>
          <w:p w14:paraId="1A6F018C" w14:textId="77777777" w:rsidR="005C0B24" w:rsidRDefault="00000000">
            <w:pPr>
              <w:jc w:val="center"/>
            </w:pPr>
            <w:r>
              <w:rPr>
                <w:b/>
                <w:bCs/>
                <w:color w:val="FFFFFF"/>
                <w:sz w:val="20"/>
                <w:szCs w:val="20"/>
              </w:rPr>
              <w:t>Midterm</w:t>
            </w:r>
          </w:p>
        </w:tc>
        <w:tc>
          <w:tcPr>
            <w:tcW w:w="1411" w:type="dxa"/>
            <w:tcBorders>
              <w:top w:val="single" w:sz="1" w:space="0" w:color="999999"/>
              <w:left w:val="single" w:sz="1" w:space="0" w:color="999999"/>
              <w:bottom w:val="single" w:sz="1" w:space="0" w:color="999999"/>
              <w:right w:val="single" w:sz="1" w:space="0" w:color="999999"/>
            </w:tcBorders>
            <w:shd w:val="clear" w:color="auto" w:fill="1F4E79"/>
          </w:tcPr>
          <w:p w14:paraId="2F9B124E" w14:textId="77777777" w:rsidR="005C0B24" w:rsidRDefault="00000000">
            <w:pPr>
              <w:jc w:val="center"/>
            </w:pPr>
            <w:r>
              <w:rPr>
                <w:b/>
                <w:bCs/>
                <w:color w:val="FFFFFF"/>
                <w:sz w:val="20"/>
                <w:szCs w:val="20"/>
              </w:rPr>
              <w:t>Exercise</w:t>
            </w:r>
          </w:p>
        </w:tc>
        <w:tc>
          <w:tcPr>
            <w:tcW w:w="1411" w:type="dxa"/>
            <w:tcBorders>
              <w:top w:val="single" w:sz="1" w:space="0" w:color="999999"/>
              <w:left w:val="single" w:sz="1" w:space="0" w:color="999999"/>
              <w:bottom w:val="single" w:sz="1" w:space="0" w:color="999999"/>
              <w:right w:val="single" w:sz="1" w:space="0" w:color="999999"/>
            </w:tcBorders>
            <w:shd w:val="clear" w:color="auto" w:fill="1F4E79"/>
          </w:tcPr>
          <w:p w14:paraId="6B1A07E2" w14:textId="77777777" w:rsidR="005C0B24" w:rsidRDefault="00000000">
            <w:pPr>
              <w:jc w:val="center"/>
            </w:pPr>
            <w:r>
              <w:rPr>
                <w:b/>
                <w:bCs/>
                <w:color w:val="FFFFFF"/>
                <w:sz w:val="20"/>
                <w:szCs w:val="20"/>
              </w:rPr>
              <w:t>Final Project</w:t>
            </w:r>
          </w:p>
        </w:tc>
      </w:tr>
      <w:tr w:rsidR="005C0B24" w14:paraId="2E789C4D" w14:textId="77777777">
        <w:tblPrEx>
          <w:tblCellMar>
            <w:top w:w="0" w:type="dxa"/>
            <w:bottom w:w="0" w:type="dxa"/>
          </w:tblCellMar>
        </w:tblPrEx>
        <w:trPr>
          <w:cantSplit w:val="true"/>
        </w:trPr>
        <w:tc>
          <w:tcPr>
            <w:tcW w:w="2232" w:type="dxa"/>
            <w:tcBorders>
              <w:top w:val="single" w:sz="1" w:space="0" w:color="999999"/>
              <w:left w:val="single" w:sz="1" w:space="0" w:color="999999"/>
              <w:bottom w:val="single" w:sz="1" w:space="0" w:color="999999"/>
              <w:right w:val="single" w:sz="1" w:space="0" w:color="999999"/>
            </w:tcBorders>
          </w:tcPr>
          <w:p w14:paraId="77AAC749" w14:textId="77777777" w:rsidR="005C0B24" w:rsidRDefault="00000000">
            <w:r>
              <w:rPr>
                <w:b/>
                <w:bCs/>
                <w:sz w:val="20"/>
                <w:szCs w:val="20"/>
              </w:rPr>
              <w:t>CLO1</w:t>
            </w:r>
          </w:p>
        </w:tc>
        <w:tc>
          <w:tcPr>
            <w:tcW w:w="1411" w:type="dxa"/>
            <w:tcBorders>
              <w:top w:val="single" w:sz="1" w:space="0" w:color="999999"/>
              <w:left w:val="single" w:sz="1" w:space="0" w:color="999999"/>
              <w:bottom w:val="single" w:sz="1" w:space="0" w:color="999999"/>
              <w:right w:val="single" w:sz="1" w:space="0" w:color="999999"/>
            </w:tcBorders>
          </w:tcPr>
          <w:p w14:paraId="6DAC26F7"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005FBDDB"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7403323A" w14:textId="77777777" w:rsidR="005C0B24" w:rsidRDefault="005C0B24">
            <w:pPr>
              <w:jc w:val="center"/>
            </w:pPr>
            <w:r>
              <w:t>✓✓</w:t>
            </w:r>
          </w:p>
        </w:tc>
        <w:tc>
          <w:tcPr>
            <w:tcW w:w="1411" w:type="dxa"/>
            <w:tcBorders>
              <w:top w:val="single" w:sz="1" w:space="0" w:color="999999"/>
              <w:left w:val="single" w:sz="1" w:space="0" w:color="999999"/>
              <w:bottom w:val="single" w:sz="1" w:space="0" w:color="999999"/>
              <w:right w:val="single" w:sz="1" w:space="0" w:color="999999"/>
            </w:tcBorders>
          </w:tcPr>
          <w:p w14:paraId="39AAD9B4"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6A6E8F34" w14:textId="77777777" w:rsidR="005C0B24" w:rsidRDefault="00000000">
            <w:pPr>
              <w:jc w:val="center"/>
            </w:pPr>
            <w:r>
              <w:rPr>
                <w:sz w:val="20"/>
                <w:szCs w:val="20"/>
              </w:rPr>
              <w:t>✓✓</w:t>
            </w:r>
          </w:p>
        </w:tc>
      </w:tr>
      <w:tr w:rsidR="005C0B24" w14:paraId="172FD943" w14:textId="77777777">
        <w:tblPrEx>
          <w:tblCellMar>
            <w:top w:w="0" w:type="dxa"/>
            <w:bottom w:w="0" w:type="dxa"/>
          </w:tblCellMar>
        </w:tblPrEx>
        <w:trPr>
          <w:cantSplit w:val="true"/>
        </w:trPr>
        <w:tc>
          <w:tcPr>
            <w:tcW w:w="2232" w:type="dxa"/>
            <w:tcBorders>
              <w:top w:val="single" w:sz="1" w:space="0" w:color="999999"/>
              <w:left w:val="single" w:sz="1" w:space="0" w:color="999999"/>
              <w:bottom w:val="single" w:sz="1" w:space="0" w:color="999999"/>
              <w:right w:val="single" w:sz="1" w:space="0" w:color="999999"/>
            </w:tcBorders>
            <w:shd w:val="clear" w:color="auto" w:fill="F2F2F2"/>
          </w:tcPr>
          <w:p w14:paraId="64110AB7" w14:textId="77777777" w:rsidR="005C0B24" w:rsidRDefault="00000000">
            <w:r>
              <w:rPr>
                <w:b/>
                <w:bCs/>
                <w:sz w:val="20"/>
                <w:szCs w:val="20"/>
              </w:rPr>
              <w:t>CLO2</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7CD4F906"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116266A0"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0707BCF4" w14:textId="77777777" w:rsidR="005C0B24" w:rsidRDefault="005C0B24">
            <w:pPr>
              <w:jc w:val="center"/>
            </w:pPr>
            <w: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4EE8924A"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4B40FCD2" w14:textId="77777777" w:rsidR="005C0B24" w:rsidRDefault="00000000">
            <w:pPr>
              <w:jc w:val="center"/>
            </w:pPr>
            <w:r>
              <w:rPr>
                <w:sz w:val="20"/>
                <w:szCs w:val="20"/>
              </w:rPr>
              <w:t>✓✓</w:t>
            </w:r>
          </w:p>
        </w:tc>
      </w:tr>
      <w:tr w:rsidR="005C0B24" w14:paraId="2D7B810B" w14:textId="77777777">
        <w:tblPrEx>
          <w:tblCellMar>
            <w:top w:w="0" w:type="dxa"/>
            <w:bottom w:w="0" w:type="dxa"/>
          </w:tblCellMar>
        </w:tblPrEx>
        <w:trPr>
          <w:cantSplit w:val="true"/>
        </w:trPr>
        <w:tc>
          <w:tcPr>
            <w:tcW w:w="2232" w:type="dxa"/>
            <w:tcBorders>
              <w:top w:val="single" w:sz="1" w:space="0" w:color="999999"/>
              <w:left w:val="single" w:sz="1" w:space="0" w:color="999999"/>
              <w:bottom w:val="single" w:sz="1" w:space="0" w:color="999999"/>
              <w:right w:val="single" w:sz="1" w:space="0" w:color="999999"/>
            </w:tcBorders>
          </w:tcPr>
          <w:p w14:paraId="21AE9212" w14:textId="77777777" w:rsidR="005C0B24" w:rsidRDefault="00000000">
            <w:r>
              <w:rPr>
                <w:b/>
                <w:bCs/>
                <w:sz w:val="20"/>
                <w:szCs w:val="20"/>
              </w:rPr>
              <w:t>CLO3</w:t>
            </w:r>
          </w:p>
        </w:tc>
        <w:tc>
          <w:tcPr>
            <w:tcW w:w="1411" w:type="dxa"/>
            <w:tcBorders>
              <w:top w:val="single" w:sz="1" w:space="0" w:color="999999"/>
              <w:left w:val="single" w:sz="1" w:space="0" w:color="999999"/>
              <w:bottom w:val="single" w:sz="1" w:space="0" w:color="999999"/>
              <w:right w:val="single" w:sz="1" w:space="0" w:color="999999"/>
            </w:tcBorders>
          </w:tcPr>
          <w:p w14:paraId="41266EE4"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7A78FD10"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0E913FA8"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7543D8C9"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46E07F2B" w14:textId="77777777" w:rsidR="005C0B24" w:rsidRDefault="00000000">
            <w:pPr>
              <w:jc w:val="center"/>
            </w:pPr>
            <w:r>
              <w:rPr>
                <w:sz w:val="20"/>
                <w:szCs w:val="20"/>
              </w:rPr>
              <w:t>✓✓</w:t>
            </w:r>
          </w:p>
        </w:tc>
      </w:tr>
      <w:tr w:rsidR="005C0B24" w14:paraId="0AF9E342" w14:textId="77777777">
        <w:tblPrEx>
          <w:tblCellMar>
            <w:top w:w="0" w:type="dxa"/>
            <w:bottom w:w="0" w:type="dxa"/>
          </w:tblCellMar>
        </w:tblPrEx>
        <w:trPr>
          <w:cantSplit w:val="true"/>
        </w:trPr>
        <w:tc>
          <w:tcPr>
            <w:tcW w:w="2232" w:type="dxa"/>
            <w:tcBorders>
              <w:top w:val="single" w:sz="1" w:space="0" w:color="999999"/>
              <w:left w:val="single" w:sz="1" w:space="0" w:color="999999"/>
              <w:bottom w:val="single" w:sz="1" w:space="0" w:color="999999"/>
              <w:right w:val="single" w:sz="1" w:space="0" w:color="999999"/>
            </w:tcBorders>
            <w:shd w:val="clear" w:color="auto" w:fill="F2F2F2"/>
          </w:tcPr>
          <w:p w14:paraId="76125677" w14:textId="77777777" w:rsidR="005C0B24" w:rsidRDefault="00000000">
            <w:r>
              <w:rPr>
                <w:b/>
                <w:bCs/>
                <w:sz w:val="20"/>
                <w:szCs w:val="20"/>
              </w:rPr>
              <w:t>CLO4</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388BFA68"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6D124643" w14:textId="77777777" w:rsidR="005C0B24" w:rsidRDefault="005C0B24">
            <w:pPr>
              <w:jc w:val="center"/>
            </w:pPr>
            <w: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711E7A6A"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394B1AEF"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1155285B" w14:textId="77777777" w:rsidR="005C0B24" w:rsidRDefault="00000000">
            <w:pPr>
              <w:jc w:val="center"/>
            </w:pPr>
            <w:r>
              <w:rPr>
                <w:sz w:val="20"/>
                <w:szCs w:val="20"/>
              </w:rPr>
              <w:t>✓✓</w:t>
            </w:r>
          </w:p>
        </w:tc>
      </w:tr>
      <w:tr w:rsidR="005C0B24" w14:paraId="0A7743CE" w14:textId="77777777">
        <w:tblPrEx>
          <w:tblCellMar>
            <w:top w:w="0" w:type="dxa"/>
            <w:bottom w:w="0" w:type="dxa"/>
          </w:tblCellMar>
        </w:tblPrEx>
        <w:trPr>
          <w:cantSplit w:val="true"/>
        </w:trPr>
        <w:tc>
          <w:tcPr>
            <w:tcW w:w="2232" w:type="dxa"/>
            <w:tcBorders>
              <w:top w:val="single" w:sz="1" w:space="0" w:color="999999"/>
              <w:left w:val="single" w:sz="1" w:space="0" w:color="999999"/>
              <w:bottom w:val="single" w:sz="1" w:space="0" w:color="999999"/>
              <w:right w:val="single" w:sz="1" w:space="0" w:color="999999"/>
            </w:tcBorders>
          </w:tcPr>
          <w:p w14:paraId="2F90174C" w14:textId="77777777" w:rsidR="005C0B24" w:rsidRDefault="00000000">
            <w:r>
              <w:rPr>
                <w:b/>
                <w:bCs/>
                <w:sz w:val="20"/>
                <w:szCs w:val="20"/>
              </w:rPr>
              <w:t>CLO5</w:t>
            </w:r>
          </w:p>
        </w:tc>
        <w:tc>
          <w:tcPr>
            <w:tcW w:w="1411" w:type="dxa"/>
            <w:tcBorders>
              <w:top w:val="single" w:sz="1" w:space="0" w:color="999999"/>
              <w:left w:val="single" w:sz="1" w:space="0" w:color="999999"/>
              <w:bottom w:val="single" w:sz="1" w:space="0" w:color="999999"/>
              <w:right w:val="single" w:sz="1" w:space="0" w:color="999999"/>
            </w:tcBorders>
          </w:tcPr>
          <w:p w14:paraId="45DA7A8D"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699C590C" w14:textId="77777777" w:rsidR="005C0B24" w:rsidRDefault="005C0B24">
            <w:pPr>
              <w:jc w:val="center"/>
            </w:pPr>
            <w:r>
              <w:t>✓</w:t>
            </w:r>
          </w:p>
        </w:tc>
        <w:tc>
          <w:tcPr>
            <w:tcW w:w="1411" w:type="dxa"/>
            <w:tcBorders>
              <w:top w:val="single" w:sz="1" w:space="0" w:color="999999"/>
              <w:left w:val="single" w:sz="1" w:space="0" w:color="999999"/>
              <w:bottom w:val="single" w:sz="1" w:space="0" w:color="999999"/>
              <w:right w:val="single" w:sz="1" w:space="0" w:color="999999"/>
            </w:tcBorders>
          </w:tcPr>
          <w:p w14:paraId="2E111BCB" w14:textId="77777777" w:rsidR="005C0B24" w:rsidRDefault="005C0B24">
            <w:pPr>
              <w:jc w:val="center"/>
            </w:pPr>
            <w:r>
              <w:t>✓</w:t>
            </w:r>
          </w:p>
        </w:tc>
        <w:tc>
          <w:tcPr>
            <w:tcW w:w="1411" w:type="dxa"/>
            <w:tcBorders>
              <w:top w:val="single" w:sz="1" w:space="0" w:color="999999"/>
              <w:left w:val="single" w:sz="1" w:space="0" w:color="999999"/>
              <w:bottom w:val="single" w:sz="1" w:space="0" w:color="999999"/>
              <w:right w:val="single" w:sz="1" w:space="0" w:color="999999"/>
            </w:tcBorders>
          </w:tcPr>
          <w:p w14:paraId="61640CF1"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56515D5B" w14:textId="77777777" w:rsidR="005C0B24" w:rsidRDefault="00000000">
            <w:pPr>
              <w:jc w:val="center"/>
            </w:pPr>
            <w:r>
              <w:rPr>
                <w:sz w:val="20"/>
                <w:szCs w:val="20"/>
              </w:rPr>
              <w:t>✓✓</w:t>
            </w:r>
          </w:p>
        </w:tc>
      </w:tr>
    </w:tbl>
    <w:p w14:paraId="51185D1A" w14:textId="77777777" w:rsidR="005C0B24" w:rsidRDefault="00000000">
      <w:pPr>
        <w:spacing w:before="80" w:after="80"/>
      </w:pPr>
      <w:r>
        <w:t>Key: ✓ = Addressed | ✓✓ = Primary Direct Evidence</w:t>
      </w:r>
    </w:p>
    <w:p w14:paraId="2EB87E2C" w14:textId="77777777" w:rsidR="005C0B24" w:rsidRDefault="005C0B24"/>
    <w:p w14:paraId="76CD1BA6" w14:textId="77777777" w:rsidR="005C0B24" w:rsidRDefault="00000000">
      <w:pPr>
        <w:pStyle w:val="Heading1"/>
      </w:pPr>
      <w:r>
        <w:t>10. Course Policies</w:t>
      </w:r>
    </w:p>
    <w:p w14:paraId="35AA9BF4" w14:textId="77777777" w:rsidR="005C0B24" w:rsidRDefault="00000000">
      <w:pPr>
        <w:pStyle w:val="Heading2"/>
      </w:pPr>
      <w:r>
        <w:t>10.1 Attendance &amp; Participation</w:t>
      </w:r>
    </w:p>
    <w:p w14:paraId="6D2DA1CD" w14:textId="77777777" w:rsidR="005C0B24" w:rsidRDefault="00000000">
      <w:pPr>
        <w:spacing w:before="80" w:after="80"/>
      </w:pPr>
      <w:r>
        <w:t>Regular attendance and active participation in synchronous sessions are essential for success in this course. Students are expected to attend all scheduled synchronous sessions with cameras enabled. If you must miss a session, please notify the instructor in advance. More than two unexcused absences may result in a reduced participation grade.</w:t>
      </w:r>
    </w:p>
    <w:p w14:paraId="0AA51E3A" w14:textId="77777777" w:rsidR="005C0B24" w:rsidRDefault="005C0B24"/>
    <w:p w14:paraId="7B854825" w14:textId="77777777" w:rsidR="005C0B24" w:rsidRDefault="00000000">
      <w:pPr>
        <w:pStyle w:val="Heading2"/>
      </w:pPr>
      <w:r>
        <w:t>10.2 Late Submission Policy</w:t>
      </w:r>
    </w:p>
    <w:p w14:paraId="432DB2AB" w14:textId="77777777" w:rsidR="005C0B24" w:rsidRDefault="00000000">
      <w:pPr>
        <w:pStyle w:val="ListParagraph"/>
        <w:numPr>
          <w:ilvl w:val="0"/>
          <w:numId w:val="3"/>
        </w:numPr>
        <w:spacing w:before="80" w:after="80"/>
      </w:pPr>
      <w:r>
        <w:t>Assignments submitted within 24 hours of deadline: 10% penalty</w:t>
      </w:r>
    </w:p>
    <w:p w14:paraId="4B2C3472" w14:textId="77777777" w:rsidR="005C0B24" w:rsidRDefault="00000000">
      <w:pPr>
        <w:pStyle w:val="ListParagraph"/>
        <w:numPr>
          <w:ilvl w:val="0"/>
          <w:numId w:val="3"/>
        </w:numPr>
        <w:spacing w:before="80" w:after="80"/>
      </w:pPr>
      <w:r>
        <w:t>Assignments submitted 24-48 hours late: 20% penalty</w:t>
      </w:r>
    </w:p>
    <w:p w14:paraId="79E4C996" w14:textId="77777777" w:rsidR="005C0B24" w:rsidRDefault="00000000">
      <w:pPr>
        <w:pStyle w:val="ListParagraph"/>
        <w:numPr>
          <w:ilvl w:val="0"/>
          <w:numId w:val="3"/>
        </w:numPr>
        <w:spacing w:before="80" w:after="80"/>
      </w:pPr>
      <w:r>
        <w:t>Assignments submitted more than 48 hours late: not accepted without prior approval</w:t>
      </w:r>
    </w:p>
    <w:p w14:paraId="591666F8" w14:textId="77777777" w:rsidR="005C0B24" w:rsidRDefault="00000000">
      <w:pPr>
        <w:pStyle w:val="ListParagraph"/>
        <w:numPr>
          <w:ilvl w:val="0"/>
          <w:numId w:val="3"/>
        </w:numPr>
        <w:spacing w:before="80" w:after="80"/>
      </w:pPr>
      <w:r>
        <w:t>Extensions may be granted for documented emergencies with advance notice</w:t>
      </w:r>
    </w:p>
    <w:p w14:paraId="4B790C17" w14:textId="77777777" w:rsidR="005C0B24" w:rsidRDefault="005C0B24"/>
    <w:p w14:paraId="7DD19994" w14:textId="77777777" w:rsidR="005C0B24" w:rsidRDefault="00000000">
      <w:pPr>
        <w:pStyle w:val="Heading2"/>
      </w:pPr>
      <w:r>
        <w:t>10.3 Academic Integrity</w:t>
      </w:r>
    </w:p>
    <w:p w14:paraId="6CFDD10D" w14:textId="77777777" w:rsidR="005C0B24" w:rsidRDefault="00000000">
      <w:pPr>
        <w:spacing w:before="80" w:after="80"/>
      </w:pPr>
      <w:r>
        <w:t>All work submitted must be your own original work. Plagiarism, including the use of AI-generated content without proper disclosure, is a serious academic offense. All sources must be properly cited. Violations of academic integrity will result in a zero for the assignment and may lead to further disciplinary action.</w:t>
      </w:r>
    </w:p>
    <w:p w14:paraId="6049DD87" w14:textId="77777777" w:rsidR="005C0B24" w:rsidRDefault="005C0B24"/>
    <w:p w14:paraId="0CC45CFC" w14:textId="77777777" w:rsidR="005C0B24" w:rsidRDefault="00000000">
      <w:pPr>
        <w:pStyle w:val="Heading2"/>
      </w:pPr>
      <w:r>
        <w:t>10.4 AI Usage Policy</w:t>
      </w:r>
    </w:p>
    <w:p w14:paraId="642FFA53" w14:textId="77777777" w:rsidR="005C0B24" w:rsidRDefault="00000000">
      <w:pPr>
        <w:spacing w:before="80" w:after="80"/>
      </w:pPr>
      <w:r>
        <w:t>Artificial intelligence may support selected source discovery, data cleaning, translation, formula or code review, scenario generation, visualization, and communication, but students remain accountable for every source, data point, exchange-rate assumption, financial calculation, country-risk judgment, development claim, safeguard determination, operational control, ethical implication, and recommendation.</w:t>
      </w:r>
    </w:p>
    <w:p w14:paraId="1FA326A2" w14:textId="77777777" w:rsidR="005C0B24" w:rsidRDefault="00000000">
      <w:pPr>
        <w:pStyle w:val="ListParagraph"/>
        <w:numPr>
          <w:ilvl w:val="0"/>
          <w:numId w:val="8"/>
        </w:numPr>
        <w:spacing w:before="80" w:after="80"/>
      </w:pPr>
      <w:r>
        <w:t>Assessment Conditions: The Week 7 midterm examination is completed without generative AI unless the instructor expressly authorizes a specific tool or accommodation.</w:t>
      </w:r>
    </w:p>
    <w:p w14:paraId="510DDE95" w14:textId="77777777" w:rsidR="005C0B24" w:rsidRDefault="00000000">
      <w:pPr>
        <w:pStyle w:val="ListParagraph"/>
        <w:numPr>
          <w:ilvl w:val="0"/>
          <w:numId w:val="8"/>
        </w:numPr>
        <w:spacing w:before="80" w:after="80"/>
      </w:pPr>
      <w:r>
        <w:t>Transparency and Provenance: Every AI-assisted submission must include an AI Usage Statement identifying tools, purposes, material prompts, outputs used, information supplied, verification steps, limitations, and substantive human revisions.</w:t>
      </w:r>
    </w:p>
    <w:p w14:paraId="1C20C9C8" w14:textId="77777777" w:rsidR="005C0B24" w:rsidRDefault="00000000">
      <w:pPr>
        <w:pStyle w:val="ListParagraph"/>
        <w:numPr>
          <w:ilvl w:val="0"/>
          <w:numId w:val="8"/>
        </w:numPr>
        <w:spacing w:before="80" w:after="80"/>
      </w:pPr>
      <w:r>
        <w:t>Verification, Current Authority, and Professional Limits: AI output is not evidence. Students must use dated authoritative sources, verify calculations and claims, distinguish facts from estimates and scenarios, document limitations, and avoid presenting course work as legal, audit, certification, engineering, or other regulated professional advice.</w:t>
      </w:r>
    </w:p>
    <w:p w14:paraId="30E9B45B" w14:textId="77777777" w:rsidR="005C0B24" w:rsidRDefault="00000000">
      <w:pPr>
        <w:pStyle w:val="ListParagraph"/>
        <w:numPr>
          <w:ilvl w:val="0"/>
          <w:numId w:val="8"/>
        </w:numPr>
        <w:spacing w:before="80" w:after="80"/>
      </w:pPr>
      <w:r>
        <w:t>Privacy, Security, Confidentiality, Rights, and Responsible Disclosure: Sensitive personal, community, employee, customer, supplier, ecological, contractual, proprietary, or security information must not be entered into public AI systems. Students must use lawful access, data minimization, approved storage, safe simulation, rights-holder respect, and responsible disclosure.</w:t>
      </w:r>
    </w:p>
    <w:p w14:paraId="10B8D177" w14:textId="77777777" w:rsidR="005C0B24" w:rsidRDefault="005C0B24"/>
    <w:p w14:paraId="1D4883DF" w14:textId="77777777" w:rsidR="005C0B24" w:rsidRDefault="00000000">
      <w:pPr>
        <w:pStyle w:val="Heading2"/>
      </w:pPr>
      <w:r>
        <w:t>10.5 Communication Expectations</w:t>
      </w:r>
    </w:p>
    <w:p w14:paraId="01F7B9FD" w14:textId="77777777" w:rsidR="005C0B24" w:rsidRDefault="00000000">
      <w:pPr>
        <w:spacing w:before="80" w:after="80"/>
      </w:pPr>
      <w:r>
        <w:t>The instructor will respond to emails within 48 hours during the work week. For urgent matters, please indicate 'URGENT' in the subject line. Course announcements will be posted on the LMS. Students are expected to check the LMS and their university email daily.</w:t>
      </w:r>
    </w:p>
    <w:p w14:paraId="17A6C653" w14:textId="77777777" w:rsidR="005C0B24" w:rsidRDefault="005C0B24"/>
    <w:p w14:paraId="74132675" w14:textId="77777777" w:rsidR="005C0B24" w:rsidRDefault="00000000">
      <w:pPr>
        <w:pStyle w:val="Heading2"/>
      </w:pPr>
      <w:r>
        <w:t>10.6 Accessibility &amp; Accommodations</w:t>
      </w:r>
    </w:p>
    <w:p w14:paraId="1DB75237" w14:textId="77777777" w:rsidR="005C0B24" w:rsidRDefault="00000000">
      <w:pPr>
        <w:spacing w:before="80" w:after="80"/>
      </w:pPr>
      <w:r>
        <w:t>Focus University Institute is committed to providing equal access to all students. Students requiring accommodations should contact the Disability Services Office and the instructor at the beginning of the term. Reasonable accommodations will be made to ensure full participation in all course activities.</w:t>
      </w:r>
    </w:p>
    <w:p w14:paraId="1CD9B743" w14:textId="77777777" w:rsidR="005C0B24" w:rsidRDefault="005C0B24"/>
    <w:p w14:paraId="6758506A" w14:textId="77777777" w:rsidR="005C0B24" w:rsidRDefault="00000000">
      <w:pPr>
        <w:pStyle w:val="Heading2"/>
      </w:pPr>
      <w:r>
        <w:t>10.7 Netiquette Guidelines</w:t>
      </w:r>
    </w:p>
    <w:p w14:paraId="4211F2DC" w14:textId="77777777" w:rsidR="005C0B24" w:rsidRDefault="00000000">
      <w:pPr>
        <w:spacing w:before="80" w:after="80"/>
      </w:pPr>
      <w:r>
        <w:t>Online learning requires respectful, professional communication. When participating in synchronous and asynchronous discussions, please use professional language, be respectful of diverse perspectives, avoid all-caps (which reads as shouting), and provide constructive feedback. Remember that cultural differences may affect communication styles.</w:t>
      </w:r>
    </w:p>
    <w:p w14:paraId="459EC188" w14:textId="77777777" w:rsidR="005C0B24" w:rsidRDefault="005C0B24"/>
    <w:p w14:paraId="76734F8D" w14:textId="77777777" w:rsidR="005C0B24" w:rsidRDefault="00000000">
      <w:pPr>
        <w:pStyle w:val="Heading1"/>
      </w:pPr>
      <w:r>
        <w:t>11. Additional Resources</w:t>
      </w:r>
    </w:p>
    <w:p w14:paraId="40BFC990" w14:textId="77777777" w:rsidR="005C0B24" w:rsidRDefault="00000000">
      <w:pPr>
        <w:pStyle w:val="Heading2"/>
      </w:pPr>
      <w:r>
        <w:t>11.1 Library &amp; Research Support</w:t>
      </w:r>
    </w:p>
    <w:p w14:paraId="18A45E2D" w14:textId="77777777" w:rsidR="005C0B24" w:rsidRDefault="00000000">
      <w:pPr>
        <w:pStyle w:val="ListParagraph"/>
        <w:numPr>
          <w:ilvl w:val="0"/>
          <w:numId w:val="3"/>
        </w:numPr>
        <w:spacing w:before="80" w:after="80"/>
      </w:pPr>
      <w:r>
        <w:t>Focus University Institute Library: international finance, monetary economics, foreign exchange, multinational finance, sovereign debt, development banking, project finance, trade finance, sustainability, environmental and social safeguards, public policy, and peer-reviewed business databases</w:t>
      </w:r>
    </w:p>
    <w:p w14:paraId="74BD950C" w14:textId="77777777" w:rsidR="005C0B24" w:rsidRDefault="00000000">
      <w:pPr>
        <w:pStyle w:val="ListParagraph"/>
        <w:numPr>
          <w:ilvl w:val="0"/>
          <w:numId w:val="3"/>
        </w:numPr>
        <w:spacing w:before="80" w:after="80"/>
      </w:pPr>
      <w:r>
        <w:t>Research Librarian consultations are available for authoritative academic, regulatory, standards, statistical, organizational, community, and methodological evidence.</w:t>
      </w:r>
    </w:p>
    <w:p w14:paraId="280BF01C" w14:textId="77777777" w:rsidR="005C0B24" w:rsidRDefault="005C0B24"/>
    <w:p w14:paraId="6D073AA9" w14:textId="77777777" w:rsidR="005C0B24" w:rsidRDefault="00000000">
      <w:pPr>
        <w:pStyle w:val="Heading2"/>
      </w:pPr>
      <w:r>
        <w:t>11.2 Writing &amp; Academic Support</w:t>
      </w:r>
    </w:p>
    <w:p w14:paraId="49625317" w14:textId="77777777" w:rsidR="005C0B24" w:rsidRDefault="00000000">
      <w:pPr>
        <w:pStyle w:val="ListParagraph"/>
        <w:numPr>
          <w:ilvl w:val="0"/>
          <w:numId w:val="3"/>
        </w:numPr>
        <w:spacing w:before="80" w:after="80"/>
      </w:pPr>
      <w:r>
        <w:t>Writing and Learning Support: graduate financial modelling, balance-of-payments analysis, country-risk assessment, project appraisal, development-impact reasoning, evidence evaluation, committee writing, visualization, presentation, and study consultations</w:t>
      </w:r>
    </w:p>
    <w:p w14:paraId="5C1A7032" w14:textId="77777777" w:rsidR="005C0B24" w:rsidRDefault="00000000">
      <w:pPr>
        <w:pStyle w:val="ListParagraph"/>
        <w:numPr>
          <w:ilvl w:val="0"/>
          <w:numId w:val="3"/>
        </w:numPr>
        <w:spacing w:before="80" w:after="80"/>
      </w:pPr>
      <w:r>
        <w:t>APA Citation Guide: Purdue OWL (https://owl.purdue.edu/)</w:t>
      </w:r>
    </w:p>
    <w:p w14:paraId="7D4F1C01" w14:textId="77777777" w:rsidR="005C0B24" w:rsidRDefault="005C0B24"/>
    <w:p w14:paraId="5EF25D81" w14:textId="77777777" w:rsidR="005C0B24" w:rsidRDefault="00000000">
      <w:pPr>
        <w:pStyle w:val="Heading2"/>
      </w:pPr>
      <w:r>
        <w:t>11.3 Technical Support</w:t>
      </w:r>
    </w:p>
    <w:p w14:paraId="12FA038B" w14:textId="77777777" w:rsidR="005C0B24" w:rsidRDefault="00000000">
      <w:pPr>
        <w:pStyle w:val="ListParagraph"/>
        <w:numPr>
          <w:ilvl w:val="0"/>
          <w:numId w:val="3"/>
        </w:numPr>
        <w:spacing w:before="80" w:after="80"/>
      </w:pPr>
      <w:r>
        <w:t>IT Help Desk: LMS, account, spreadsheet, financial-modelling, World Bank/IMF/BIS data, visualization, citation, secure storage, accessibility, presentation, and approved-tool support</w:t>
      </w:r>
    </w:p>
    <w:p w14:paraId="1C66B1A2" w14:textId="77777777" w:rsidR="005C0B24" w:rsidRDefault="00000000">
      <w:pPr>
        <w:pStyle w:val="ListParagraph"/>
        <w:numPr>
          <w:ilvl w:val="0"/>
          <w:numId w:val="3"/>
        </w:numPr>
        <w:spacing w:before="80" w:after="80"/>
      </w:pPr>
      <w:r>
        <w:t>Source verification, data-provenance, safe-disclosure, accessibility, reproducibility, and AI Usage Statement tutorials are available in the course Getting Started module.</w:t>
      </w:r>
    </w:p>
    <w:p w14:paraId="2AB947EE" w14:textId="77777777" w:rsidR="005C0B24" w:rsidRDefault="005C0B24"/>
    <w:p w14:paraId="21093228" w14:textId="77777777" w:rsidR="005C0B24" w:rsidRDefault="00000000">
      <w:pPr>
        <w:pStyle w:val="Heading2"/>
      </w:pPr>
      <w:r>
        <w:t>11.4 Professional Development</w:t>
      </w:r>
    </w:p>
    <w:p w14:paraId="78D5E0F3" w14:textId="77777777" w:rsidR="005C0B24" w:rsidRDefault="00000000">
      <w:pPr>
        <w:pStyle w:val="ListParagraph"/>
        <w:numPr>
          <w:ilvl w:val="0"/>
          <w:numId w:val="3"/>
        </w:numPr>
        <w:spacing w:before="80" w:after="0"/>
      </w:pPr>
      <w:r>
        <w:rPr>
          <w:sz w:val="20"/>
        </w:rPr>
        <w:t>World Bank Group, IFC, MIGA, IMF, BIS, ADB, OECD, OpenStax, LibreTexts, and other authoritative open international-finance and development-banking resources</w:t>
      </w:r>
    </w:p>
    <w:p w14:paraId="4023C1DD" w14:textId="77777777" w:rsidR="005C0B24" w:rsidRDefault="00000000">
      <w:pPr>
        <w:pStyle w:val="ListParagraph"/>
        <w:numPr>
          <w:ilvl w:val="0"/>
          <w:numId w:val="3"/>
        </w:numPr>
        <w:spacing w:before="80" w:after="0"/>
      </w:pPr>
      <w:r>
        <w:rPr>
          <w:sz w:val="20"/>
        </w:rPr>
        <w:t>Peer-reviewed research, official statistics, project documents, financial statements, safeguards materials, procurement disclosures, evaluation evidence, market data, and sovereign records used with lawful access and context</w:t>
      </w:r>
    </w:p>
    <w:p w14:paraId="36D1113B" w14:textId="77777777" w:rsidR="005C0B24" w:rsidRDefault="00000000">
      <w:pPr>
        <w:pStyle w:val="ListParagraph"/>
        <w:numPr>
          <w:ilvl w:val="0"/>
          <w:numId w:val="3"/>
        </w:numPr>
        <w:spacing w:before="80" w:after="0"/>
      </w:pPr>
      <w:r>
        <w:rPr>
          <w:sz w:val="20"/>
        </w:rPr>
        <w:t>Professional treasury, trade-finance, development-finance, project-finance, central-bank, risk, sustainability, environmental and social, evaluation, and public-accountability networks</w:t>
      </w:r>
    </w:p>
    <w:p w14:paraId="0D8EC506" w14:textId="77777777" w:rsidR="005C0B24" w:rsidRDefault="005C0B24"/>
    <w:p>
      <w:pPr>
        <w:pStyle w:val="Heading2"/>
      </w:pPr>
      <w:r>
        <w:t>11.5 Suggested Bibliography (APA 7)</w:t>
      </w:r>
    </w:p>
    <w:p>
      <w:pPr>
        <w:pStyle w:val="ListParagraph"/>
        <w:spacing w:after="0"/>
      </w:pPr>
      <w:r>
        <w:rPr>
          <w:sz w:val="18"/>
        </w:rPr>
        <w:t>Bank for International Settlements. (2025). Triennial Central Bank Survey of foreign exchange and over-the-counter derivatives markets in 2025. https://www.bis.org/statistics/rpfx25.htm</w:t>
      </w:r>
    </w:p>
    <w:p>
      <w:pPr>
        <w:pStyle w:val="ListParagraph"/>
        <w:spacing w:after="0"/>
      </w:pPr>
      <w:r>
        <w:rPr>
          <w:sz w:val="18"/>
        </w:rPr>
        <w:t>Eun, C. S., Resnick, B. G., &amp; Chuluun, T. (2024). International financial management (10th ed.). McGraw Hill.</w:t>
      </w:r>
    </w:p>
    <w:p>
      <w:pPr>
        <w:pStyle w:val="ListParagraph"/>
        <w:spacing w:after="0"/>
      </w:pPr>
      <w:r>
        <w:rPr>
          <w:sz w:val="18"/>
        </w:rPr>
        <w:t>International Finance Corporation. (2012). Performance standards on environmental and social sustainability. https://www.ifc.org/en/insights-reports/2012/ifc-performance-standards</w:t>
      </w:r>
    </w:p>
    <w:p>
      <w:pPr>
        <w:pStyle w:val="ListParagraph"/>
        <w:spacing w:after="0"/>
      </w:pPr>
      <w:r>
        <w:rPr>
          <w:sz w:val="18"/>
        </w:rPr>
        <w:t>International Finance Corporation. (n.d.). Anticipated Impact Measurement and Monitoring (AIMM). https://www.ifc.org/en/our-impact/measuring-and-monitoring</w:t>
      </w:r>
    </w:p>
    <w:p>
      <w:pPr>
        <w:pStyle w:val="ListParagraph"/>
        <w:spacing w:after="0"/>
      </w:pPr>
      <w:r>
        <w:rPr>
          <w:sz w:val="18"/>
        </w:rPr>
        <w:t>International Monetary Fund. (2025). Integrated balance of payments and international investment position manual (7th ed.). https://www.imf.org/en/Publications/Manuals-Guides/Issues/2025/03/05/Integrated-Balance-of-Payments-and-International-Investment-Position-Manual-Seventh-Edition</w:t>
      </w:r>
    </w:p>
    <w:p>
      <w:pPr>
        <w:pStyle w:val="ListParagraph"/>
        <w:spacing w:after="0"/>
      </w:pPr>
      <w:r>
        <w:rPr>
          <w:sz w:val="18"/>
        </w:rPr>
        <w:t>Multilateral Investment Guarantee Agency. (n.d.). All guarantees. https://www.miga.org/all-guarantees</w:t>
      </w:r>
    </w:p>
    <w:p>
      <w:pPr>
        <w:pStyle w:val="ListParagraph"/>
        <w:spacing w:after="0"/>
      </w:pPr>
      <w:r>
        <w:rPr>
          <w:sz w:val="18"/>
        </w:rPr>
        <w:t>Organisation for Economic Co-operation and Development. (2018). OECD DAC blended finance principles for unlocking commercial finance for the Sustainable Development Goals. https://www.oecd.org/en/publications/oecd-dac-blended-finance-principles_dc66bd9c-en.html</w:t>
      </w:r>
    </w:p>
    <w:p>
      <w:pPr>
        <w:pStyle w:val="ListParagraph"/>
        <w:spacing w:after="0"/>
      </w:pPr>
      <w:r>
        <w:rPr>
          <w:sz w:val="18"/>
        </w:rPr>
        <w:t>Suranovic, S. (2010). International finance: Theory and policy. Saylor Foundation. https://biz.libretexts.org/Bookshelves/Finance/Book%3A_International_Finance__Theory_and_Policy</w:t>
      </w:r>
    </w:p>
    <w:p>
      <w:pPr>
        <w:pStyle w:val="ListParagraph"/>
        <w:spacing w:after="0"/>
      </w:pPr>
      <w:r>
        <w:rPr>
          <w:sz w:val="18"/>
        </w:rPr>
        <w:t>World Bank. (2017). Environmental and social framework. https://www.worldbank.org/en/projects-operations/environmental-and-social-framework</w:t>
      </w:r>
    </w:p>
    <w:p>
      <w:pPr>
        <w:pStyle w:val="ListParagraph"/>
        <w:spacing w:after="0"/>
      </w:pPr>
      <w:r>
        <w:rPr>
          <w:sz w:val="18"/>
        </w:rPr>
        <w:t>World Bank. (n.d.). World Bank project cycle. https://www.worldbank.org/en/projects-operations/products-and-services/brief/projectcycle</w:t>
      </w:r>
    </w:p>
    <w:p w14:paraId="392940AF" w14:textId="77777777" w:rsidR="005C0B24" w:rsidRDefault="00000000">
      <w:pPr>
        <w:pStyle w:val="Heading1"/>
        <w:spacing w:after="0"/>
      </w:pPr>
      <w:r>
        <w:rPr>
          <w:sz w:val="18"/>
        </w:rPr>
        <w:t>12. Syllabus Disclaimer</w:t>
      </w:r>
    </w:p>
    <w:p w14:paraId="7EA35AAE" w14:textId="77777777" w:rsidR="005C0B24" w:rsidRDefault="00000000">
      <w:pPr>
        <w:spacing w:before="80" w:after="0"/>
      </w:pPr>
      <w:r>
        <w:rPr>
          <w:sz w:val="18"/>
        </w:rPr>
        <w:t>This syllabus represents a plan for the course and may be modified based on pedagogical needs or material changes in exchange rates, markets, country conditions, sovereign credit, international-finance regulation, sanctions, development-bank policies, project status, debt-sustainability evidence, environmental and social standards, sustainability evidence, and data availability. Course work is educational and does not constitute investment, treasury, banking, development-finance, tax, accounting, legal, compliance, environmental and social, procurement, assurance, or other regulated professional advice. Students will be notified of significant changes through the LMS and email.</w:t>
      </w:r>
    </w:p>
    <w:p w14:paraId="5BDAAEA2" w14:textId="77777777" w:rsidR="005C0B24" w:rsidRDefault="005C0B24">
      <w:pPr>
        <w:pageBreakBefore w:val="0"/>
      </w:pPr>
    </w:p>
    <w:p w14:paraId="6F6A6C91" w14:textId="77777777" w:rsidR="005C0B24" w:rsidRDefault="005C0B24">
      <w:pPr>
        <w:pageBreakBefore w:val="0"/>
      </w:pPr>
    </w:p>
    <w:p w14:paraId="60D3F035" w14:textId="77777777" w:rsidR="005C0B24" w:rsidRDefault="00000000">
      <w:pPr>
        <w:pageBreakBefore w:val="0"/>
        <w:pBdr>
          <w:top w:val="single" w:sz="6" w:space="0" w:color="1F4E79"/>
        </w:pBdr>
        <w:spacing w:before="200" w:after="100"/>
        <w:jc w:val="center"/>
      </w:pPr>
      <w:r>
        <w:t>Focus University Institute</w:t>
      </w:r>
    </w:p>
    <w:p w14:paraId="3DB31312" w14:textId="77777777" w:rsidR="005C0B24" w:rsidRDefault="00000000">
      <w:pPr>
        <w:pageBreakBefore w:val="0"/>
        <w:spacing w:before="50" w:after="50"/>
        <w:jc w:val="center"/>
      </w:pPr>
      <w:r>
        <w:t>Madrid, Spain</w:t>
      </w:r>
    </w:p>
    <w:p w14:paraId="19EF7002" w14:textId="77777777" w:rsidR="005C0B24" w:rsidRDefault="00000000">
      <w:pPr>
        <w:pageBreakBefore w:val="0"/>
        <w:spacing w:before="50" w:after="200"/>
        <w:jc w:val="center"/>
      </w:pPr>
      <w:r>
        <w:t>© 2026 Focus University Institute. All rights reserved.</w:t>
      </w:r>
    </w:p>
    <w:sectPr w:rsidR="005C0B24">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4F556" w14:textId="77777777" w:rsidR="00D06CD0" w:rsidRDefault="00D06CD0">
      <w:r>
        <w:separator/>
      </w:r>
    </w:p>
  </w:endnote>
  <w:endnote w:type="continuationSeparator" w:id="0">
    <w:p w14:paraId="65C1228B" w14:textId="77777777" w:rsidR="00D06CD0" w:rsidRDefault="00D06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87E56" w14:textId="77777777" w:rsidR="005C0B24" w:rsidRDefault="00000000">
    <w:pPr>
      <w:jc w:val="center"/>
    </w:pPr>
    <w:r>
      <w:rPr>
        <w:color w:val="666666"/>
        <w:sz w:val="18"/>
        <w:szCs w:val="18"/>
      </w:rPr>
      <w:t xml:space="preserve">Page </w:t>
    </w:r>
    <w:r>
      <w:rPr>
        <w:color w:val="666666"/>
        <w:sz w:val="18"/>
        <w:szCs w:val="18"/>
      </w:rPr>
      <w:fldChar w:fldCharType="begin"/>
    </w:r>
    <w:r>
      <w:rPr>
        <w:color w:val="666666"/>
        <w:sz w:val="18"/>
        <w:szCs w:val="18"/>
      </w:rPr>
      <w:instrText>PAGE</w:instrText>
    </w:r>
    <w:r>
      <w:rPr>
        <w:color w:val="666666"/>
        <w:sz w:val="18"/>
        <w:szCs w:val="18"/>
      </w:rPr>
      <w:fldChar w:fldCharType="separate"/>
    </w:r>
    <w:r w:rsidR="0087309D">
      <w:rPr>
        <w:noProof/>
        <w:color w:val="666666"/>
        <w:sz w:val="18"/>
        <w:szCs w:val="18"/>
      </w:rPr>
      <w:t>1</w:t>
    </w:r>
    <w:r>
      <w:rPr>
        <w:color w:val="666666"/>
        <w:sz w:val="18"/>
        <w:szCs w:val="18"/>
      </w:rPr>
      <w:fldChar w:fldCharType="end"/>
    </w:r>
    <w:r>
      <w:rPr>
        <w:color w:val="666666"/>
        <w:sz w:val="18"/>
        <w:szCs w:val="18"/>
      </w:rPr>
      <w:t xml:space="preserve"> of </w:t>
    </w:r>
    <w:r>
      <w:rPr>
        <w:color w:val="666666"/>
        <w:sz w:val="18"/>
        <w:szCs w:val="18"/>
      </w:rPr>
      <w:fldChar w:fldCharType="begin"/>
    </w:r>
    <w:r>
      <w:rPr>
        <w:color w:val="666666"/>
        <w:sz w:val="18"/>
        <w:szCs w:val="18"/>
      </w:rPr>
      <w:instrText>NUMPAGES</w:instrText>
    </w:r>
    <w:r>
      <w:rPr>
        <w:color w:val="666666"/>
        <w:sz w:val="18"/>
        <w:szCs w:val="18"/>
      </w:rPr>
      <w:fldChar w:fldCharType="separate"/>
    </w:r>
    <w:r w:rsidR="0087309D">
      <w:rPr>
        <w:noProof/>
        <w:color w:val="666666"/>
        <w:sz w:val="18"/>
        <w:szCs w:val="18"/>
      </w:rPr>
      <w:t>2</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E4D5E" w14:textId="77777777" w:rsidR="00D06CD0" w:rsidRDefault="00D06CD0">
      <w:r>
        <w:separator/>
      </w:r>
    </w:p>
  </w:footnote>
  <w:footnote w:type="continuationSeparator" w:id="0">
    <w:p w14:paraId="5B31A958" w14:textId="77777777" w:rsidR="00D06CD0" w:rsidRDefault="00D06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9128" w14:textId="77777777" w:rsidR="005C0B24" w:rsidRDefault="00000000">
    <w:pPr>
      <w:jc w:val="right"/>
    </w:pPr>
    <w:r>
      <w:t>Focus University Institute | International Finance and Development Banking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61FA"/>
    <w:multiLevelType w:val="hybridMultilevel"/>
    <w:tmpl w:val="0EB22B2C"/>
    <w:lvl w:ilvl="0" w:tplc="B07AB938">
      <w:start w:val="1"/>
      <w:numFmt w:val="decimal"/>
      <w:lvlText w:val="LO%1."/>
      <w:lvlJc w:val="left"/>
      <w:pPr>
        <w:ind w:left="720" w:hanging="540"/>
      </w:pPr>
    </w:lvl>
    <w:lvl w:ilvl="1" w:tplc="2556C3FE">
      <w:numFmt w:val="decimal"/>
      <w:lvlText w:val=""/>
      <w:lvlJc w:val="left"/>
    </w:lvl>
    <w:lvl w:ilvl="2" w:tplc="71A42AE6">
      <w:numFmt w:val="decimal"/>
      <w:lvlText w:val=""/>
      <w:lvlJc w:val="left"/>
    </w:lvl>
    <w:lvl w:ilvl="3" w:tplc="0370243C">
      <w:numFmt w:val="decimal"/>
      <w:lvlText w:val=""/>
      <w:lvlJc w:val="left"/>
    </w:lvl>
    <w:lvl w:ilvl="4" w:tplc="90381A0E">
      <w:numFmt w:val="decimal"/>
      <w:lvlText w:val=""/>
      <w:lvlJc w:val="left"/>
    </w:lvl>
    <w:lvl w:ilvl="5" w:tplc="F844F46E">
      <w:numFmt w:val="decimal"/>
      <w:lvlText w:val=""/>
      <w:lvlJc w:val="left"/>
    </w:lvl>
    <w:lvl w:ilvl="6" w:tplc="B21A1896">
      <w:numFmt w:val="decimal"/>
      <w:lvlText w:val=""/>
      <w:lvlJc w:val="left"/>
    </w:lvl>
    <w:lvl w:ilvl="7" w:tplc="A5869314">
      <w:numFmt w:val="decimal"/>
      <w:lvlText w:val=""/>
      <w:lvlJc w:val="left"/>
    </w:lvl>
    <w:lvl w:ilvl="8" w:tplc="D4DEE404">
      <w:numFmt w:val="decimal"/>
      <w:lvlText w:val=""/>
      <w:lvlJc w:val="left"/>
    </w:lvl>
  </w:abstractNum>
  <w:abstractNum w:abstractNumId="1" w15:restartNumberingAfterBreak="0">
    <w:nsid w:val="07FD1788"/>
    <w:multiLevelType w:val="hybridMultilevel"/>
    <w:tmpl w:val="D6180016"/>
    <w:lvl w:ilvl="0" w:tplc="AAA034B2">
      <w:start w:val="1"/>
      <w:numFmt w:val="decimal"/>
      <w:lvlText w:val="%1."/>
      <w:lvlJc w:val="left"/>
      <w:pPr>
        <w:ind w:left="720" w:hanging="360"/>
      </w:pPr>
    </w:lvl>
    <w:lvl w:ilvl="1" w:tplc="F8EC16D4">
      <w:numFmt w:val="decimal"/>
      <w:lvlText w:val=""/>
      <w:lvlJc w:val="left"/>
    </w:lvl>
    <w:lvl w:ilvl="2" w:tplc="115E8798">
      <w:numFmt w:val="decimal"/>
      <w:lvlText w:val=""/>
      <w:lvlJc w:val="left"/>
    </w:lvl>
    <w:lvl w:ilvl="3" w:tplc="6C1A82F2">
      <w:numFmt w:val="decimal"/>
      <w:lvlText w:val=""/>
      <w:lvlJc w:val="left"/>
    </w:lvl>
    <w:lvl w:ilvl="4" w:tplc="251E75C0">
      <w:numFmt w:val="decimal"/>
      <w:lvlText w:val=""/>
      <w:lvlJc w:val="left"/>
    </w:lvl>
    <w:lvl w:ilvl="5" w:tplc="A9B2A91A">
      <w:numFmt w:val="decimal"/>
      <w:lvlText w:val=""/>
      <w:lvlJc w:val="left"/>
    </w:lvl>
    <w:lvl w:ilvl="6" w:tplc="CA326EE6">
      <w:numFmt w:val="decimal"/>
      <w:lvlText w:val=""/>
      <w:lvlJc w:val="left"/>
    </w:lvl>
    <w:lvl w:ilvl="7" w:tplc="FCBA06BA">
      <w:numFmt w:val="decimal"/>
      <w:lvlText w:val=""/>
      <w:lvlJc w:val="left"/>
    </w:lvl>
    <w:lvl w:ilvl="8" w:tplc="6B54EC8A">
      <w:numFmt w:val="decimal"/>
      <w:lvlText w:val=""/>
      <w:lvlJc w:val="left"/>
    </w:lvl>
  </w:abstractNum>
  <w:abstractNum w:abstractNumId="2" w15:restartNumberingAfterBreak="0">
    <w:nsid w:val="1CE7025B"/>
    <w:multiLevelType w:val="hybridMultilevel"/>
    <w:tmpl w:val="0298BA22"/>
    <w:lvl w:ilvl="0" w:tplc="376A4490">
      <w:start w:val="1"/>
      <w:numFmt w:val="decimal"/>
      <w:lvlText w:val="%1."/>
      <w:lvlJc w:val="left"/>
      <w:pPr>
        <w:ind w:left="720" w:hanging="360"/>
      </w:pPr>
    </w:lvl>
    <w:lvl w:ilvl="1" w:tplc="B6A8E1DC">
      <w:numFmt w:val="decimal"/>
      <w:lvlText w:val=""/>
      <w:lvlJc w:val="left"/>
    </w:lvl>
    <w:lvl w:ilvl="2" w:tplc="676C1E50">
      <w:numFmt w:val="decimal"/>
      <w:lvlText w:val=""/>
      <w:lvlJc w:val="left"/>
    </w:lvl>
    <w:lvl w:ilvl="3" w:tplc="294CAC04">
      <w:numFmt w:val="decimal"/>
      <w:lvlText w:val=""/>
      <w:lvlJc w:val="left"/>
    </w:lvl>
    <w:lvl w:ilvl="4" w:tplc="C1904082">
      <w:numFmt w:val="decimal"/>
      <w:lvlText w:val=""/>
      <w:lvlJc w:val="left"/>
    </w:lvl>
    <w:lvl w:ilvl="5" w:tplc="0A362D48">
      <w:numFmt w:val="decimal"/>
      <w:lvlText w:val=""/>
      <w:lvlJc w:val="left"/>
    </w:lvl>
    <w:lvl w:ilvl="6" w:tplc="840E6DEA">
      <w:numFmt w:val="decimal"/>
      <w:lvlText w:val=""/>
      <w:lvlJc w:val="left"/>
    </w:lvl>
    <w:lvl w:ilvl="7" w:tplc="2EB08F4C">
      <w:numFmt w:val="decimal"/>
      <w:lvlText w:val=""/>
      <w:lvlJc w:val="left"/>
    </w:lvl>
    <w:lvl w:ilvl="8" w:tplc="E5FEFE70">
      <w:numFmt w:val="decimal"/>
      <w:lvlText w:val=""/>
      <w:lvlJc w:val="left"/>
    </w:lvl>
  </w:abstractNum>
  <w:abstractNum w:abstractNumId="3" w15:restartNumberingAfterBreak="0">
    <w:nsid w:val="25C6637F"/>
    <w:multiLevelType w:val="hybridMultilevel"/>
    <w:tmpl w:val="7EA05E26"/>
    <w:lvl w:ilvl="0" w:tplc="5DBC4858">
      <w:start w:val="1"/>
      <w:numFmt w:val="decimal"/>
      <w:lvlText w:val="%1."/>
      <w:lvlJc w:val="left"/>
      <w:pPr>
        <w:ind w:left="720" w:hanging="360"/>
      </w:pPr>
    </w:lvl>
    <w:lvl w:ilvl="1" w:tplc="E3B8A94E">
      <w:numFmt w:val="decimal"/>
      <w:lvlText w:val=""/>
      <w:lvlJc w:val="left"/>
    </w:lvl>
    <w:lvl w:ilvl="2" w:tplc="ADB698B0">
      <w:numFmt w:val="decimal"/>
      <w:lvlText w:val=""/>
      <w:lvlJc w:val="left"/>
    </w:lvl>
    <w:lvl w:ilvl="3" w:tplc="44F25D62">
      <w:numFmt w:val="decimal"/>
      <w:lvlText w:val=""/>
      <w:lvlJc w:val="left"/>
    </w:lvl>
    <w:lvl w:ilvl="4" w:tplc="CD46935E">
      <w:numFmt w:val="decimal"/>
      <w:lvlText w:val=""/>
      <w:lvlJc w:val="left"/>
    </w:lvl>
    <w:lvl w:ilvl="5" w:tplc="EB3CDBEE">
      <w:numFmt w:val="decimal"/>
      <w:lvlText w:val=""/>
      <w:lvlJc w:val="left"/>
    </w:lvl>
    <w:lvl w:ilvl="6" w:tplc="E1AC0B76">
      <w:numFmt w:val="decimal"/>
      <w:lvlText w:val=""/>
      <w:lvlJc w:val="left"/>
    </w:lvl>
    <w:lvl w:ilvl="7" w:tplc="016850C6">
      <w:numFmt w:val="decimal"/>
      <w:lvlText w:val=""/>
      <w:lvlJc w:val="left"/>
    </w:lvl>
    <w:lvl w:ilvl="8" w:tplc="250EF2A8">
      <w:numFmt w:val="decimal"/>
      <w:lvlText w:val=""/>
      <w:lvlJc w:val="left"/>
    </w:lvl>
  </w:abstractNum>
  <w:abstractNum w:abstractNumId="4" w15:restartNumberingAfterBreak="0">
    <w:nsid w:val="25F44110"/>
    <w:multiLevelType w:val="hybridMultilevel"/>
    <w:tmpl w:val="9B0C892A"/>
    <w:lvl w:ilvl="0" w:tplc="9BF6B620">
      <w:start w:val="1"/>
      <w:numFmt w:val="decimal"/>
      <w:lvlText w:val="%1."/>
      <w:lvlJc w:val="left"/>
      <w:pPr>
        <w:ind w:left="720" w:hanging="360"/>
      </w:pPr>
    </w:lvl>
    <w:lvl w:ilvl="1" w:tplc="893AE822">
      <w:numFmt w:val="decimal"/>
      <w:lvlText w:val=""/>
      <w:lvlJc w:val="left"/>
    </w:lvl>
    <w:lvl w:ilvl="2" w:tplc="0D3AADBE">
      <w:numFmt w:val="decimal"/>
      <w:lvlText w:val=""/>
      <w:lvlJc w:val="left"/>
    </w:lvl>
    <w:lvl w:ilvl="3" w:tplc="CB4EF5CE">
      <w:numFmt w:val="decimal"/>
      <w:lvlText w:val=""/>
      <w:lvlJc w:val="left"/>
    </w:lvl>
    <w:lvl w:ilvl="4" w:tplc="90629902">
      <w:numFmt w:val="decimal"/>
      <w:lvlText w:val=""/>
      <w:lvlJc w:val="left"/>
    </w:lvl>
    <w:lvl w:ilvl="5" w:tplc="76226ECE">
      <w:numFmt w:val="decimal"/>
      <w:lvlText w:val=""/>
      <w:lvlJc w:val="left"/>
    </w:lvl>
    <w:lvl w:ilvl="6" w:tplc="44EA2F4E">
      <w:numFmt w:val="decimal"/>
      <w:lvlText w:val=""/>
      <w:lvlJc w:val="left"/>
    </w:lvl>
    <w:lvl w:ilvl="7" w:tplc="2F52E198">
      <w:numFmt w:val="decimal"/>
      <w:lvlText w:val=""/>
      <w:lvlJc w:val="left"/>
    </w:lvl>
    <w:lvl w:ilvl="8" w:tplc="1C566A40">
      <w:numFmt w:val="decimal"/>
      <w:lvlText w:val=""/>
      <w:lvlJc w:val="left"/>
    </w:lvl>
  </w:abstractNum>
  <w:abstractNum w:abstractNumId="5" w15:restartNumberingAfterBreak="0">
    <w:nsid w:val="58BB555E"/>
    <w:multiLevelType w:val="hybridMultilevel"/>
    <w:tmpl w:val="842E66D8"/>
    <w:lvl w:ilvl="0" w:tplc="FD14B2EC">
      <w:start w:val="1"/>
      <w:numFmt w:val="bullet"/>
      <w:lvlText w:val="•"/>
      <w:lvlJc w:val="left"/>
      <w:pPr>
        <w:ind w:left="720" w:hanging="360"/>
      </w:pPr>
    </w:lvl>
    <w:lvl w:ilvl="1" w:tplc="B9BE62B6">
      <w:numFmt w:val="decimal"/>
      <w:lvlText w:val=""/>
      <w:lvlJc w:val="left"/>
    </w:lvl>
    <w:lvl w:ilvl="2" w:tplc="615C75B4">
      <w:numFmt w:val="decimal"/>
      <w:lvlText w:val=""/>
      <w:lvlJc w:val="left"/>
    </w:lvl>
    <w:lvl w:ilvl="3" w:tplc="F9A4A112">
      <w:numFmt w:val="decimal"/>
      <w:lvlText w:val=""/>
      <w:lvlJc w:val="left"/>
    </w:lvl>
    <w:lvl w:ilvl="4" w:tplc="AB16137E">
      <w:numFmt w:val="decimal"/>
      <w:lvlText w:val=""/>
      <w:lvlJc w:val="left"/>
    </w:lvl>
    <w:lvl w:ilvl="5" w:tplc="0BB0CAC0">
      <w:numFmt w:val="decimal"/>
      <w:lvlText w:val=""/>
      <w:lvlJc w:val="left"/>
    </w:lvl>
    <w:lvl w:ilvl="6" w:tplc="AC445656">
      <w:numFmt w:val="decimal"/>
      <w:lvlText w:val=""/>
      <w:lvlJc w:val="left"/>
    </w:lvl>
    <w:lvl w:ilvl="7" w:tplc="B3509266">
      <w:numFmt w:val="decimal"/>
      <w:lvlText w:val=""/>
      <w:lvlJc w:val="left"/>
    </w:lvl>
    <w:lvl w:ilvl="8" w:tplc="D2E2A62C">
      <w:numFmt w:val="decimal"/>
      <w:lvlText w:val=""/>
      <w:lvlJc w:val="left"/>
    </w:lvl>
  </w:abstractNum>
  <w:abstractNum w:abstractNumId="6" w15:restartNumberingAfterBreak="0">
    <w:nsid w:val="5DB416D6"/>
    <w:multiLevelType w:val="hybridMultilevel"/>
    <w:tmpl w:val="6660C86A"/>
    <w:lvl w:ilvl="0" w:tplc="392E00F4">
      <w:start w:val="1"/>
      <w:numFmt w:val="decimal"/>
      <w:lvlText w:val="%1."/>
      <w:lvlJc w:val="left"/>
      <w:pPr>
        <w:ind w:left="720" w:hanging="360"/>
      </w:pPr>
    </w:lvl>
    <w:lvl w:ilvl="1" w:tplc="07B28BC4">
      <w:numFmt w:val="decimal"/>
      <w:lvlText w:val=""/>
      <w:lvlJc w:val="left"/>
    </w:lvl>
    <w:lvl w:ilvl="2" w:tplc="7EC6F030">
      <w:numFmt w:val="decimal"/>
      <w:lvlText w:val=""/>
      <w:lvlJc w:val="left"/>
    </w:lvl>
    <w:lvl w:ilvl="3" w:tplc="01AA2E0E">
      <w:numFmt w:val="decimal"/>
      <w:lvlText w:val=""/>
      <w:lvlJc w:val="left"/>
    </w:lvl>
    <w:lvl w:ilvl="4" w:tplc="575E34BC">
      <w:numFmt w:val="decimal"/>
      <w:lvlText w:val=""/>
      <w:lvlJc w:val="left"/>
    </w:lvl>
    <w:lvl w:ilvl="5" w:tplc="8362C05A">
      <w:numFmt w:val="decimal"/>
      <w:lvlText w:val=""/>
      <w:lvlJc w:val="left"/>
    </w:lvl>
    <w:lvl w:ilvl="6" w:tplc="DEE45B58">
      <w:numFmt w:val="decimal"/>
      <w:lvlText w:val=""/>
      <w:lvlJc w:val="left"/>
    </w:lvl>
    <w:lvl w:ilvl="7" w:tplc="BF4E87DE">
      <w:numFmt w:val="decimal"/>
      <w:lvlText w:val=""/>
      <w:lvlJc w:val="left"/>
    </w:lvl>
    <w:lvl w:ilvl="8" w:tplc="B002EE3A">
      <w:numFmt w:val="decimal"/>
      <w:lvlText w:val=""/>
      <w:lvlJc w:val="left"/>
    </w:lvl>
  </w:abstractNum>
  <w:abstractNum w:abstractNumId="7" w15:restartNumberingAfterBreak="0">
    <w:nsid w:val="63381C16"/>
    <w:multiLevelType w:val="hybridMultilevel"/>
    <w:tmpl w:val="6FB04EF0"/>
    <w:lvl w:ilvl="0" w:tplc="C40216BA">
      <w:start w:val="1"/>
      <w:numFmt w:val="decimal"/>
      <w:lvlText w:val="%1."/>
      <w:lvlJc w:val="left"/>
      <w:pPr>
        <w:ind w:left="720" w:hanging="360"/>
      </w:pPr>
    </w:lvl>
    <w:lvl w:ilvl="1" w:tplc="21E493AA">
      <w:numFmt w:val="decimal"/>
      <w:lvlText w:val=""/>
      <w:lvlJc w:val="left"/>
    </w:lvl>
    <w:lvl w:ilvl="2" w:tplc="4DE82B4A">
      <w:numFmt w:val="decimal"/>
      <w:lvlText w:val=""/>
      <w:lvlJc w:val="left"/>
    </w:lvl>
    <w:lvl w:ilvl="3" w:tplc="08283052">
      <w:numFmt w:val="decimal"/>
      <w:lvlText w:val=""/>
      <w:lvlJc w:val="left"/>
    </w:lvl>
    <w:lvl w:ilvl="4" w:tplc="0B309F58">
      <w:numFmt w:val="decimal"/>
      <w:lvlText w:val=""/>
      <w:lvlJc w:val="left"/>
    </w:lvl>
    <w:lvl w:ilvl="5" w:tplc="A274CC04">
      <w:numFmt w:val="decimal"/>
      <w:lvlText w:val=""/>
      <w:lvlJc w:val="left"/>
    </w:lvl>
    <w:lvl w:ilvl="6" w:tplc="5930E1B2">
      <w:numFmt w:val="decimal"/>
      <w:lvlText w:val=""/>
      <w:lvlJc w:val="left"/>
    </w:lvl>
    <w:lvl w:ilvl="7" w:tplc="0068D3F2">
      <w:numFmt w:val="decimal"/>
      <w:lvlText w:val=""/>
      <w:lvlJc w:val="left"/>
    </w:lvl>
    <w:lvl w:ilvl="8" w:tplc="6D58325C">
      <w:numFmt w:val="decimal"/>
      <w:lvlText w:val=""/>
      <w:lvlJc w:val="left"/>
    </w:lvl>
  </w:abstractNum>
  <w:abstractNum w:abstractNumId="8" w15:restartNumberingAfterBreak="0">
    <w:nsid w:val="653E3F24"/>
    <w:multiLevelType w:val="hybridMultilevel"/>
    <w:tmpl w:val="FBCECFB2"/>
    <w:lvl w:ilvl="0" w:tplc="889A17B0">
      <w:start w:val="1"/>
      <w:numFmt w:val="decimal"/>
      <w:lvlText w:val="%1."/>
      <w:lvlJc w:val="left"/>
      <w:pPr>
        <w:ind w:left="720" w:hanging="360"/>
      </w:pPr>
    </w:lvl>
    <w:lvl w:ilvl="1" w:tplc="115A1E14">
      <w:numFmt w:val="decimal"/>
      <w:lvlText w:val=""/>
      <w:lvlJc w:val="left"/>
    </w:lvl>
    <w:lvl w:ilvl="2" w:tplc="54884706">
      <w:numFmt w:val="decimal"/>
      <w:lvlText w:val=""/>
      <w:lvlJc w:val="left"/>
    </w:lvl>
    <w:lvl w:ilvl="3" w:tplc="0FA6B282">
      <w:numFmt w:val="decimal"/>
      <w:lvlText w:val=""/>
      <w:lvlJc w:val="left"/>
    </w:lvl>
    <w:lvl w:ilvl="4" w:tplc="B8F2BEFC">
      <w:numFmt w:val="decimal"/>
      <w:lvlText w:val=""/>
      <w:lvlJc w:val="left"/>
    </w:lvl>
    <w:lvl w:ilvl="5" w:tplc="50F07506">
      <w:numFmt w:val="decimal"/>
      <w:lvlText w:val=""/>
      <w:lvlJc w:val="left"/>
    </w:lvl>
    <w:lvl w:ilvl="6" w:tplc="CD70D04E">
      <w:numFmt w:val="decimal"/>
      <w:lvlText w:val=""/>
      <w:lvlJc w:val="left"/>
    </w:lvl>
    <w:lvl w:ilvl="7" w:tplc="F02415D6">
      <w:numFmt w:val="decimal"/>
      <w:lvlText w:val=""/>
      <w:lvlJc w:val="left"/>
    </w:lvl>
    <w:lvl w:ilvl="8" w:tplc="F2B0D8A6">
      <w:numFmt w:val="decimal"/>
      <w:lvlText w:val=""/>
      <w:lvlJc w:val="left"/>
    </w:lvl>
  </w:abstractNum>
  <w:abstractNum w:abstractNumId="9" w15:restartNumberingAfterBreak="0">
    <w:nsid w:val="654B3577"/>
    <w:multiLevelType w:val="hybridMultilevel"/>
    <w:tmpl w:val="A00A084C"/>
    <w:lvl w:ilvl="0" w:tplc="C616DE04">
      <w:start w:val="1"/>
      <w:numFmt w:val="bullet"/>
      <w:lvlText w:val="●"/>
      <w:lvlJc w:val="left"/>
      <w:pPr>
        <w:ind w:left="720" w:hanging="360"/>
      </w:pPr>
    </w:lvl>
    <w:lvl w:ilvl="1" w:tplc="03CAB1DE">
      <w:start w:val="1"/>
      <w:numFmt w:val="bullet"/>
      <w:lvlText w:val="○"/>
      <w:lvlJc w:val="left"/>
      <w:pPr>
        <w:ind w:left="1440" w:hanging="360"/>
      </w:pPr>
    </w:lvl>
    <w:lvl w:ilvl="2" w:tplc="05FA9BD2">
      <w:start w:val="1"/>
      <w:numFmt w:val="bullet"/>
      <w:lvlText w:val="■"/>
      <w:lvlJc w:val="left"/>
      <w:pPr>
        <w:ind w:left="2160" w:hanging="360"/>
      </w:pPr>
    </w:lvl>
    <w:lvl w:ilvl="3" w:tplc="785031DA">
      <w:start w:val="1"/>
      <w:numFmt w:val="bullet"/>
      <w:lvlText w:val="●"/>
      <w:lvlJc w:val="left"/>
      <w:pPr>
        <w:ind w:left="2880" w:hanging="360"/>
      </w:pPr>
    </w:lvl>
    <w:lvl w:ilvl="4" w:tplc="DAF8FBB4">
      <w:start w:val="1"/>
      <w:numFmt w:val="bullet"/>
      <w:lvlText w:val="○"/>
      <w:lvlJc w:val="left"/>
      <w:pPr>
        <w:ind w:left="3600" w:hanging="360"/>
      </w:pPr>
    </w:lvl>
    <w:lvl w:ilvl="5" w:tplc="EE2E1BFA">
      <w:start w:val="1"/>
      <w:numFmt w:val="bullet"/>
      <w:lvlText w:val="■"/>
      <w:lvlJc w:val="left"/>
      <w:pPr>
        <w:ind w:left="4320" w:hanging="360"/>
      </w:pPr>
    </w:lvl>
    <w:lvl w:ilvl="6" w:tplc="A07E68A8">
      <w:start w:val="1"/>
      <w:numFmt w:val="bullet"/>
      <w:lvlText w:val="●"/>
      <w:lvlJc w:val="left"/>
      <w:pPr>
        <w:ind w:left="5040" w:hanging="360"/>
      </w:pPr>
    </w:lvl>
    <w:lvl w:ilvl="7" w:tplc="5B924F10">
      <w:start w:val="1"/>
      <w:numFmt w:val="bullet"/>
      <w:lvlText w:val="●"/>
      <w:lvlJc w:val="left"/>
      <w:pPr>
        <w:ind w:left="5760" w:hanging="360"/>
      </w:pPr>
    </w:lvl>
    <w:lvl w:ilvl="8" w:tplc="8A14C242">
      <w:start w:val="1"/>
      <w:numFmt w:val="bullet"/>
      <w:lvlText w:val="●"/>
      <w:lvlJc w:val="left"/>
      <w:pPr>
        <w:ind w:left="6480" w:hanging="360"/>
      </w:pPr>
    </w:lvl>
  </w:abstractNum>
  <w:abstractNum w:abstractNumId="10" w15:restartNumberingAfterBreak="0">
    <w:nsid w:val="6ECC58E5"/>
    <w:multiLevelType w:val="hybridMultilevel"/>
    <w:tmpl w:val="43543B42"/>
    <w:lvl w:ilvl="0" w:tplc="9E9C2DFE">
      <w:start w:val="1"/>
      <w:numFmt w:val="decimal"/>
      <w:lvlText w:val="%1."/>
      <w:lvlJc w:val="left"/>
      <w:pPr>
        <w:ind w:left="720" w:hanging="360"/>
      </w:pPr>
    </w:lvl>
    <w:lvl w:ilvl="1" w:tplc="F88CDF6C">
      <w:numFmt w:val="decimal"/>
      <w:lvlText w:val=""/>
      <w:lvlJc w:val="left"/>
    </w:lvl>
    <w:lvl w:ilvl="2" w:tplc="B290B77A">
      <w:numFmt w:val="decimal"/>
      <w:lvlText w:val=""/>
      <w:lvlJc w:val="left"/>
    </w:lvl>
    <w:lvl w:ilvl="3" w:tplc="6696F550">
      <w:numFmt w:val="decimal"/>
      <w:lvlText w:val=""/>
      <w:lvlJc w:val="left"/>
    </w:lvl>
    <w:lvl w:ilvl="4" w:tplc="8E40AD62">
      <w:numFmt w:val="decimal"/>
      <w:lvlText w:val=""/>
      <w:lvlJc w:val="left"/>
    </w:lvl>
    <w:lvl w:ilvl="5" w:tplc="27D6A9C8">
      <w:numFmt w:val="decimal"/>
      <w:lvlText w:val=""/>
      <w:lvlJc w:val="left"/>
    </w:lvl>
    <w:lvl w:ilvl="6" w:tplc="F62CC1AA">
      <w:numFmt w:val="decimal"/>
      <w:lvlText w:val=""/>
      <w:lvlJc w:val="left"/>
    </w:lvl>
    <w:lvl w:ilvl="7" w:tplc="2D84A642">
      <w:numFmt w:val="decimal"/>
      <w:lvlText w:val=""/>
      <w:lvlJc w:val="left"/>
    </w:lvl>
    <w:lvl w:ilvl="8" w:tplc="A6C2CB4C">
      <w:numFmt w:val="decimal"/>
      <w:lvlText w:val=""/>
      <w:lvlJc w:val="left"/>
    </w:lvl>
  </w:abstractNum>
  <w:num w:numId="1" w16cid:durableId="47144724">
    <w:abstractNumId w:val="9"/>
    <w:lvlOverride w:ilvl="0">
      <w:startOverride w:val="1"/>
    </w:lvlOverride>
  </w:num>
  <w:num w:numId="2" w16cid:durableId="1851985925">
    <w:abstractNumId w:val="0"/>
    <w:lvlOverride w:ilvl="0">
      <w:startOverride w:val="1"/>
    </w:lvlOverride>
  </w:num>
  <w:num w:numId="3" w16cid:durableId="752749283">
    <w:abstractNumId w:val="5"/>
    <w:lvlOverride w:ilvl="0">
      <w:startOverride w:val="1"/>
    </w:lvlOverride>
  </w:num>
  <w:num w:numId="4" w16cid:durableId="640890476">
    <w:abstractNumId w:val="6"/>
    <w:lvlOverride w:ilvl="0">
      <w:startOverride w:val="1"/>
    </w:lvlOverride>
  </w:num>
  <w:num w:numId="5" w16cid:durableId="1779176133">
    <w:abstractNumId w:val="2"/>
    <w:lvlOverride w:ilvl="0">
      <w:startOverride w:val="1"/>
    </w:lvlOverride>
  </w:num>
  <w:num w:numId="6" w16cid:durableId="1304429706">
    <w:abstractNumId w:val="1"/>
    <w:lvlOverride w:ilvl="0">
      <w:startOverride w:val="1"/>
    </w:lvlOverride>
  </w:num>
  <w:num w:numId="7" w16cid:durableId="866328463">
    <w:abstractNumId w:val="10"/>
    <w:lvlOverride w:ilvl="0">
      <w:startOverride w:val="1"/>
    </w:lvlOverride>
  </w:num>
  <w:num w:numId="8" w16cid:durableId="2019187919">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B24"/>
    <w:rsid w:val="00260C62"/>
    <w:rsid w:val="005C0B24"/>
    <w:rsid w:val="0087309D"/>
    <w:rsid w:val="00B23C81"/>
    <w:rsid w:val="00D06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69431"/>
  <w15:docId w15:val="{767A123F-63FA-49F8-A9EC-2946529B6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50"/>
      <w:outlineLvl w:val="0"/>
    </w:pPr>
    <w:rPr>
      <w:b/>
      <w:bCs/>
      <w:color w:val="1F4E79"/>
      <w:sz w:val="28"/>
      <w:szCs w:val="28"/>
    </w:rPr>
  </w:style>
  <w:style w:type="paragraph" w:styleId="Heading2">
    <w:name w:val="heading 2"/>
    <w:uiPriority w:val="9"/>
    <w:unhideWhenUsed/>
    <w:qFormat/>
    <w:pPr>
      <w:spacing w:before="250" w:after="100"/>
      <w:outlineLvl w:val="1"/>
    </w:pPr>
    <w:rPr>
      <w:b/>
      <w:bCs/>
      <w:color w:val="2E75B6"/>
      <w:sz w:val="24"/>
      <w:szCs w:val="24"/>
    </w:rPr>
  </w:style>
  <w:style w:type="paragraph" w:styleId="Heading3">
    <w:name w:val="heading 3"/>
    <w:uiPriority w:val="9"/>
    <w:unhideWhenUsed/>
    <w:qFormat/>
    <w:pPr>
      <w:spacing w:before="200" w:after="80"/>
      <w:outlineLvl w:val="2"/>
    </w:pPr>
    <w:rPr>
      <w:b/>
      <w:bCs/>
      <w:color w:val="1F4E79"/>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3776</Words>
  <Characters>26437</Characters>
  <Application>Microsoft Office Word</Application>
  <DocSecurity>0</DocSecurity>
  <Lines>1057</Lines>
  <Paragraphs>629</Paragraphs>
  <ScaleCrop>false</ScaleCrop>
  <Company/>
  <LinksUpToDate>false</LinksUpToDate>
  <CharactersWithSpaces>29584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Fernando (Lou) Villalba, PhD., EdD.</dc:creator>
  <cp:lastModifiedBy>Lou Villalba</cp:lastModifiedBy>
  <cp:revision>4</cp:revision>
  <dcterms:created xsi:type="dcterms:W3CDTF">2025-12-25T06:40:00Z</dcterms:created>
  <dcterms:modified xsi:type="dcterms:W3CDTF">2025-12-25T06:43:00Z</dcterms:modified>
  <dc:title>International Finance and Development Banking</dc:title>
  <dc:subject>Master of Business Administration in Finance - Finance Course 10 - Course Outline</dc:subject>
  <cp:keywords>MBA in Finance, international finance, foreign exchange, development banking, World Bank, IFC, MIGA, development finance, sustainability, OER, Focus University Institute</cp:keywords>
</cp:coreProperties>
</file>