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ED866" w14:textId="77777777" w:rsidR="005C0B24" w:rsidRDefault="00000000">
      <w:pPr>
        <w:spacing w:after="100"/>
        <w:jc w:val="center"/>
      </w:pPr>
      <w:r>
        <w:t>FOCUS UNIVERSITY INSTITUTE</w:t>
      </w:r>
    </w:p>
    <w:p w14:paraId="4ED0A83B" w14:textId="77777777" w:rsidR="005C0B24" w:rsidRDefault="00000000">
      <w:pPr>
        <w:spacing w:after="200"/>
        <w:jc w:val="center"/>
      </w:pPr>
      <w:r>
        <w:rPr>
          <w:color w:val="666666"/>
          <w:sz w:val="24"/>
          <w:szCs w:val="24"/>
        </w:rPr>
        <w:t>Madrid, Spain</w:t>
      </w:r>
    </w:p>
    <w:p w14:paraId="35D2BDD8" w14:textId="77777777" w:rsidR="005C0B24" w:rsidRDefault="00000000">
      <w:pPr>
        <w:pBdr>
          <w:bottom w:val="single" w:sz="12" w:space="0" w:color="1F4E79"/>
        </w:pBdr>
        <w:spacing w:after="80"/>
        <w:jc w:val="center"/>
      </w:pPr>
      <w:r>
        <w:t>CORPORATE FINANCE AND BUSINESS VALUATION</w:t>
      </w:r>
    </w:p>
    <w:p w14:paraId="70C9DC36" w14:textId="77777777" w:rsidR="005C0B24" w:rsidRDefault="00000000">
      <w:pPr>
        <w:spacing w:before="150" w:after="300"/>
        <w:jc w:val="center"/>
      </w:pPr>
      <w:r>
        <w:t>Program Developer: Luis Fernando (Lou) Villalba, PhD., EdD.</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18"/>
        <w:gridCol w:w="6006"/>
      </w:tblGrid>
      <w:tr w:rsidR="005C0B24" w14:paraId="4A01CC19"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0B11EE2B" w14:textId="77777777" w:rsidR="005C0B24" w:rsidRDefault="00000000">
            <w:r>
              <w:rPr>
                <w:b/>
                <w:bCs/>
                <w:sz w:val="20"/>
                <w:szCs w:val="20"/>
              </w:rPr>
              <w:t>Course Code:</w:t>
            </w:r>
          </w:p>
        </w:tc>
        <w:tc>
          <w:tcPr>
            <w:tcW w:w="6240" w:type="dxa"/>
            <w:tcBorders>
              <w:top w:val="single" w:sz="1" w:space="0" w:color="999999"/>
              <w:left w:val="single" w:sz="1" w:space="0" w:color="999999"/>
              <w:bottom w:val="single" w:sz="1" w:space="0" w:color="999999"/>
              <w:right w:val="single" w:sz="1" w:space="0" w:color="999999"/>
            </w:tcBorders>
          </w:tcPr>
          <w:p w14:paraId="49EAA67C" w14:textId="77777777" w:rsidR="005C0B24" w:rsidRDefault="00000000">
            <w:r>
              <w:rPr>
                <w:sz w:val="20"/>
                <w:szCs w:val="20"/>
              </w:rPr>
              <w:t>MBA-FIN 607 (Provisional)</w:t>
            </w:r>
          </w:p>
        </w:tc>
      </w:tr>
      <w:tr w:rsidR="005C0B24" w14:paraId="1463DD33"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41FFA7E2" w14:textId="77777777" w:rsidR="005C0B24" w:rsidRDefault="00000000">
            <w:r>
              <w:rPr>
                <w:b/>
                <w:bCs/>
                <w:sz w:val="20"/>
                <w:szCs w:val="20"/>
              </w:rPr>
              <w:t>Credits:</w:t>
            </w:r>
          </w:p>
        </w:tc>
        <w:tc>
          <w:tcPr>
            <w:tcW w:w="6240" w:type="dxa"/>
            <w:tcBorders>
              <w:top w:val="single" w:sz="1" w:space="0" w:color="999999"/>
              <w:left w:val="single" w:sz="1" w:space="0" w:color="999999"/>
              <w:bottom w:val="single" w:sz="1" w:space="0" w:color="999999"/>
              <w:right w:val="single" w:sz="1" w:space="0" w:color="999999"/>
            </w:tcBorders>
          </w:tcPr>
          <w:p w14:paraId="07D869EA" w14:textId="77777777" w:rsidR="005C0B24" w:rsidRDefault="00000000">
            <w:r>
              <w:rPr>
                <w:sz w:val="20"/>
                <w:szCs w:val="20"/>
              </w:rPr>
              <w:t>3 North American Graduate Credits / Proposed 6 ECTS</w:t>
            </w:r>
          </w:p>
        </w:tc>
      </w:tr>
      <w:tr w:rsidR="005C0B24" w14:paraId="6EDA49C4"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5629A0ED" w14:textId="77777777" w:rsidR="005C0B24" w:rsidRDefault="00000000">
            <w:r>
              <w:rPr>
                <w:b/>
                <w:bCs/>
                <w:sz w:val="20"/>
                <w:szCs w:val="20"/>
              </w:rPr>
              <w:t>Academic Level:</w:t>
            </w:r>
          </w:p>
        </w:tc>
        <w:tc>
          <w:tcPr>
            <w:tcW w:w="6240" w:type="dxa"/>
            <w:tcBorders>
              <w:top w:val="single" w:sz="1" w:space="0" w:color="999999"/>
              <w:left w:val="single" w:sz="1" w:space="0" w:color="999999"/>
              <w:bottom w:val="single" w:sz="1" w:space="0" w:color="999999"/>
              <w:right w:val="single" w:sz="1" w:space="0" w:color="999999"/>
            </w:tcBorders>
          </w:tcPr>
          <w:p w14:paraId="160F952B" w14:textId="77777777" w:rsidR="005C0B24" w:rsidRDefault="00000000">
            <w:r>
              <w:rPr>
                <w:sz w:val="20"/>
                <w:szCs w:val="20"/>
              </w:rPr>
              <w:t>Graduate (Master's / MBA)</w:t>
            </w:r>
          </w:p>
        </w:tc>
      </w:tr>
      <w:tr w:rsidR="005C0B24" w14:paraId="1B6D5BE6"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474CD86B" w14:textId="77777777" w:rsidR="005C0B24" w:rsidRDefault="00000000">
            <w:r>
              <w:rPr>
                <w:b/>
                <w:bCs/>
                <w:sz w:val="20"/>
                <w:szCs w:val="20"/>
              </w:rPr>
              <w:t>Duration:</w:t>
            </w:r>
          </w:p>
        </w:tc>
        <w:tc>
          <w:tcPr>
            <w:tcW w:w="6240" w:type="dxa"/>
            <w:tcBorders>
              <w:top w:val="single" w:sz="1" w:space="0" w:color="999999"/>
              <w:left w:val="single" w:sz="1" w:space="0" w:color="999999"/>
              <w:bottom w:val="single" w:sz="1" w:space="0" w:color="999999"/>
              <w:right w:val="single" w:sz="1" w:space="0" w:color="999999"/>
            </w:tcBorders>
          </w:tcPr>
          <w:p w14:paraId="6A175038" w14:textId="77777777" w:rsidR="005C0B24" w:rsidRDefault="00000000">
            <w:r>
              <w:rPr>
                <w:sz w:val="20"/>
                <w:szCs w:val="20"/>
              </w:rPr>
              <w:t>14 Weeks</w:t>
            </w:r>
          </w:p>
        </w:tc>
      </w:tr>
      <w:tr w:rsidR="005C0B24" w14:paraId="44AECFA0"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4D6B3B14" w14:textId="77777777" w:rsidR="005C0B24" w:rsidRDefault="00000000">
            <w:r>
              <w:rPr>
                <w:b/>
                <w:bCs/>
                <w:sz w:val="20"/>
                <w:szCs w:val="20"/>
              </w:rPr>
              <w:t>Student Workload:</w:t>
            </w:r>
          </w:p>
        </w:tc>
        <w:tc>
          <w:tcPr>
            <w:tcW w:w="6240" w:type="dxa"/>
            <w:tcBorders>
              <w:top w:val="single" w:sz="1" w:space="0" w:color="999999"/>
              <w:left w:val="single" w:sz="1" w:space="0" w:color="999999"/>
              <w:bottom w:val="single" w:sz="1" w:space="0" w:color="999999"/>
              <w:right w:val="single" w:sz="1" w:space="0" w:color="999999"/>
            </w:tcBorders>
          </w:tcPr>
          <w:p w14:paraId="25C654C5" w14:textId="77777777" w:rsidR="005C0B24" w:rsidRDefault="00000000">
            <w:r>
              <w:rPr>
                <w:sz w:val="20"/>
                <w:szCs w:val="20"/>
              </w:rPr>
              <w:t>Approximately 150 Hours (42 Guided + 108 Independent)</w:t>
            </w:r>
          </w:p>
        </w:tc>
      </w:tr>
      <w:tr w:rsidR="005C0B24" w14:paraId="3746371A"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01600099" w14:textId="77777777" w:rsidR="005C0B24" w:rsidRDefault="00000000">
            <w:r>
              <w:rPr>
                <w:b/>
                <w:bCs/>
                <w:sz w:val="20"/>
                <w:szCs w:val="20"/>
              </w:rPr>
              <w:t>Delivery Mode:</w:t>
            </w:r>
          </w:p>
        </w:tc>
        <w:tc>
          <w:tcPr>
            <w:tcW w:w="6240" w:type="dxa"/>
            <w:tcBorders>
              <w:top w:val="single" w:sz="1" w:space="0" w:color="999999"/>
              <w:left w:val="single" w:sz="1" w:space="0" w:color="999999"/>
              <w:bottom w:val="single" w:sz="1" w:space="0" w:color="999999"/>
              <w:right w:val="single" w:sz="1" w:space="0" w:color="999999"/>
            </w:tcBorders>
          </w:tcPr>
          <w:p w14:paraId="5B03AE65" w14:textId="77777777" w:rsidR="005C0B24" w:rsidRDefault="00000000">
            <w:r>
              <w:rPr>
                <w:sz w:val="20"/>
                <w:szCs w:val="20"/>
              </w:rPr>
              <w:t>Madrid-Based, Online, or Blended</w:t>
            </w:r>
          </w:p>
        </w:tc>
      </w:tr>
      <w:tr w:rsidR="005C0B24" w14:paraId="7962DDE5"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1BBCC0A8" w14:textId="77777777" w:rsidR="005C0B24" w:rsidRDefault="00000000">
            <w:r>
              <w:rPr>
                <w:b/>
                <w:bCs/>
                <w:sz w:val="20"/>
                <w:szCs w:val="20"/>
              </w:rPr>
              <w:t>Program/Stage:</w:t>
            </w:r>
          </w:p>
        </w:tc>
        <w:tc>
          <w:tcPr>
            <w:tcW w:w="6240" w:type="dxa"/>
            <w:tcBorders>
              <w:top w:val="single" w:sz="1" w:space="0" w:color="999999"/>
              <w:left w:val="single" w:sz="1" w:space="0" w:color="999999"/>
              <w:bottom w:val="single" w:sz="1" w:space="0" w:color="999999"/>
              <w:right w:val="single" w:sz="1" w:space="0" w:color="999999"/>
            </w:tcBorders>
          </w:tcPr>
          <w:p w14:paraId="3337A933" w14:textId="77777777" w:rsidR="005C0B24" w:rsidRDefault="00000000">
            <w:r>
              <w:t>Master of Business Administration in Finance / Finance Course 7</w:t>
            </w:r>
          </w:p>
        </w:tc>
      </w:tr>
      <w:tr w:rsidR="005C0B24" w14:paraId="54771D81"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60E78842" w14:textId="77777777" w:rsidR="005C0B24" w:rsidRDefault="00000000">
            <w:r>
              <w:rPr>
                <w:b/>
                <w:bCs/>
                <w:sz w:val="20"/>
                <w:szCs w:val="20"/>
              </w:rPr>
              <w:t>Professor:</w:t>
            </w:r>
          </w:p>
        </w:tc>
        <w:tc>
          <w:tcPr>
            <w:tcW w:w="6240" w:type="dxa"/>
            <w:tcBorders>
              <w:top w:val="single" w:sz="1" w:space="0" w:color="999999"/>
              <w:left w:val="single" w:sz="1" w:space="0" w:color="999999"/>
              <w:bottom w:val="single" w:sz="1" w:space="0" w:color="999999"/>
              <w:right w:val="single" w:sz="1" w:space="0" w:color="999999"/>
            </w:tcBorders>
          </w:tcPr>
          <w:p w14:paraId="2D6345BD" w14:textId="77777777" w:rsidR="005C0B24" w:rsidRDefault="00000000">
            <w:r>
              <w:rPr>
                <w:sz w:val="20"/>
                <w:szCs w:val="20"/>
              </w:rPr>
              <w:t>____________________</w:t>
            </w:r>
          </w:p>
        </w:tc>
      </w:tr>
      <w:tr w:rsidR="005C0B24" w14:paraId="54C3A8AB"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78B3C064" w14:textId="77777777" w:rsidR="005C0B24" w:rsidRDefault="00000000">
            <w:r>
              <w:rPr>
                <w:b/>
                <w:bCs/>
                <w:sz w:val="20"/>
                <w:szCs w:val="20"/>
              </w:rPr>
              <w:t>Office Hours:</w:t>
            </w:r>
          </w:p>
        </w:tc>
        <w:tc>
          <w:tcPr>
            <w:tcW w:w="6240" w:type="dxa"/>
            <w:tcBorders>
              <w:top w:val="single" w:sz="1" w:space="0" w:color="999999"/>
              <w:left w:val="single" w:sz="1" w:space="0" w:color="999999"/>
              <w:bottom w:val="single" w:sz="1" w:space="0" w:color="999999"/>
              <w:right w:val="single" w:sz="1" w:space="0" w:color="999999"/>
            </w:tcBorders>
          </w:tcPr>
          <w:p w14:paraId="22E8B710" w14:textId="77777777" w:rsidR="005C0B24" w:rsidRDefault="00000000">
            <w:r>
              <w:rPr>
                <w:sz w:val="20"/>
                <w:szCs w:val="20"/>
              </w:rPr>
              <w:t>[To be determined]</w:t>
            </w:r>
          </w:p>
        </w:tc>
      </w:tr>
      <w:tr w:rsidR="005C0B24" w14:paraId="7BEC2845"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712A8960" w14:textId="77777777" w:rsidR="005C0B24" w:rsidRDefault="00000000">
            <w:r>
              <w:rPr>
                <w:b/>
                <w:bCs/>
                <w:sz w:val="20"/>
                <w:szCs w:val="20"/>
              </w:rPr>
              <w:t>Contact:</w:t>
            </w:r>
          </w:p>
        </w:tc>
        <w:tc>
          <w:tcPr>
            <w:tcW w:w="6240" w:type="dxa"/>
            <w:tcBorders>
              <w:top w:val="single" w:sz="1" w:space="0" w:color="999999"/>
              <w:left w:val="single" w:sz="1" w:space="0" w:color="999999"/>
              <w:bottom w:val="single" w:sz="1" w:space="0" w:color="999999"/>
              <w:right w:val="single" w:sz="1" w:space="0" w:color="999999"/>
            </w:tcBorders>
          </w:tcPr>
          <w:p w14:paraId="07E51F3D" w14:textId="77777777" w:rsidR="005C0B24" w:rsidRDefault="00000000">
            <w:r>
              <w:rPr>
                <w:sz w:val="20"/>
                <w:szCs w:val="20"/>
              </w:rPr>
              <w:t>[To be determined]</w:t>
            </w:r>
          </w:p>
        </w:tc>
      </w:tr>
    </w:tbl>
    <w:p w14:paraId="2DD1D95A" w14:textId="77777777" w:rsidR="005C0B24" w:rsidRDefault="005C0B24"/>
    <w:p w14:paraId="668C15F4" w14:textId="77777777" w:rsidR="005C0B24" w:rsidRDefault="00000000">
      <w:pPr>
        <w:pStyle w:val="Heading1"/>
      </w:pPr>
      <w:r>
        <w:t>1. Course Description</w:t>
      </w:r>
    </w:p>
    <w:p w14:paraId="27331DB0" w14:textId="77777777" w:rsidR="005C0B24" w:rsidRDefault="00000000">
      <w:pPr>
        <w:spacing w:before="80" w:after="80"/>
      </w:pPr>
      <w:r>
        <w:t>This advanced MBA finance course develops the analytical and managerial capabilities required to allocate capital, design financing policy, and estimate the value of companies, business units, and strategic initiatives. Students connect operating performance, return on invested capital, growth, free cash flow, risk, and competitive advantage to enterprise and equity value rather than treating valuation as a mechanical spreadsheet exercise.</w:t>
      </w:r>
    </w:p>
    <w:p w14:paraId="6F06BFED" w14:textId="77777777" w:rsidR="005C0B24" w:rsidRDefault="00000000">
      <w:pPr>
        <w:spacing w:before="80" w:after="80"/>
      </w:pPr>
      <w:r>
        <w:t>Students construct auditable forecasts, estimate discount rates, evaluate capital investments, compare financing and payout alternatives, and apply discounted-cash-flow, relative-valuation, transaction, and sum-of-the-parts methods. They reconcile differences among methods; test assumptions through scenarios, sensitivities, and reverse valuation; and communicate a defensible value range instead of a falsely precise point estimate.</w:t>
      </w:r>
    </w:p>
    <w:p w14:paraId="70FDE2E0" w14:textId="77777777" w:rsidR="005C0B24" w:rsidRDefault="00000000">
      <w:pPr>
        <w:spacing w:before="80" w:after="80"/>
      </w:pPr>
      <w:r>
        <w:t>The course integrates material climate, nature, resource, workforce, regulatory, and transition factors where they affect cash flows, capital expenditure, financing, resilience, risk, or terminal value. It culminates in an Integrated Corporate Valuation and Value-Creation Plan. The course remains distinct from the later portfolio-management and sustainable-finance course, the financial-risk/FinTech/AI course, and the Applied Finance Capstone.</w:t>
      </w:r>
    </w:p>
    <w:p w14:paraId="56F5AE46" w14:textId="77777777" w:rsidR="005C0B24" w:rsidRDefault="005C0B24">
      <w:r>
        <w:t>Prerequisites: Successful completion of the six-course MBA common trunk or approved equivalent.</w:t>
      </w:r>
    </w:p>
    <w:p w14:paraId="2A2B99DC" w14:textId="77777777" w:rsidR="005C0B24" w:rsidRDefault="00000000">
      <w:pPr>
        <w:pStyle w:val="Heading1"/>
      </w:pPr>
      <w:r>
        <w:t>2. Course Learning Outcomes</w:t>
      </w:r>
    </w:p>
    <w:p w14:paraId="65BA4C02" w14:textId="77777777" w:rsidR="005C0B24" w:rsidRDefault="00000000">
      <w:pPr>
        <w:spacing w:before="80" w:after="80"/>
      </w:pPr>
      <w:r>
        <w:t>Upon successful completion of this course, students will be able to:</w:t>
      </w:r>
    </w:p>
    <w:p w14:paraId="3702E6AF" w14:textId="77777777" w:rsidR="005C0B24" w:rsidRDefault="005C0B24"/>
    <w:p w14:paraId="05588804" w14:textId="77777777" w:rsidR="005C0B24" w:rsidRDefault="00000000">
      <w:pPr>
        <w:pStyle w:val="ListParagraph"/>
        <w:numPr>
          <w:ilvl w:val="0"/>
          <w:numId w:val="2"/>
        </w:numPr>
        <w:spacing w:before="80" w:after="80"/>
      </w:pPr>
      <w:r>
        <w:rPr>
          <w:b/>
        </w:rPr>
        <w:t xml:space="preserve">Analyze and forecast </w:t>
      </w:r>
      <w:r>
        <w:t xml:space="preserve">corporate performance, invested capital, return on invested capital, growth, working capital, taxes, financing needs, and free cash flows using normalized financial statements and explicit value-driver assumptions. </w:t>
      </w:r>
      <w:r>
        <w:rPr>
          <w:color w:val="666666"/>
          <w:sz w:val="20"/>
        </w:rPr>
        <w:t>[Bloom's Level 4: Analyze]</w:t>
      </w:r>
    </w:p>
    <w:p w14:paraId="3066BD06" w14:textId="77777777" w:rsidR="005C0B24" w:rsidRDefault="00000000">
      <w:pPr>
        <w:pStyle w:val="ListParagraph"/>
        <w:numPr>
          <w:ilvl w:val="0"/>
          <w:numId w:val="2"/>
        </w:numPr>
        <w:spacing w:before="80" w:after="80"/>
      </w:pPr>
      <w:r>
        <w:rPr>
          <w:b/>
        </w:rPr>
        <w:t xml:space="preserve">Evaluate </w:t>
      </w:r>
      <w:r>
        <w:t xml:space="preserve">capital investments, financing structures, payout choices, and strategic alternatives using incremental cash flow, net present value, internal rate of return, adjusted present value, scenario analysis, and relevant constraints. </w:t>
      </w:r>
      <w:r>
        <w:rPr>
          <w:color w:val="666666"/>
          <w:sz w:val="20"/>
        </w:rPr>
        <w:t>[Bloom's Level 5: Evaluate]</w:t>
      </w:r>
    </w:p>
    <w:p w14:paraId="706E522A" w14:textId="77777777" w:rsidR="005C0B24" w:rsidRDefault="00000000">
      <w:pPr>
        <w:pStyle w:val="ListParagraph"/>
        <w:numPr>
          <w:ilvl w:val="0"/>
          <w:numId w:val="2"/>
        </w:numPr>
        <w:spacing w:before="80" w:after="80"/>
      </w:pPr>
      <w:r>
        <w:rPr>
          <w:b/>
        </w:rPr>
        <w:t xml:space="preserve">Estimate and reconcile </w:t>
      </w:r>
      <w:r>
        <w:t xml:space="preserve">enterprise and equity value through discounted cash flow, trading multiples, precedent transactions, asset-based and sum-of-the-parts approaches while explaining model risk, uncertainty, and the difference between price and value. </w:t>
      </w:r>
      <w:r>
        <w:rPr>
          <w:color w:val="666666"/>
          <w:sz w:val="20"/>
        </w:rPr>
        <w:t>[Bloom's Level 5: Evaluate]</w:t>
      </w:r>
    </w:p>
    <w:p w14:paraId="5352FDEF" w14:textId="77777777" w:rsidR="005C0B24" w:rsidRDefault="00000000">
      <w:pPr>
        <w:pStyle w:val="ListParagraph"/>
        <w:numPr>
          <w:ilvl w:val="0"/>
          <w:numId w:val="2"/>
        </w:numPr>
        <w:spacing w:before="80" w:after="80"/>
      </w:pPr>
      <w:r>
        <w:rPr>
          <w:b/>
        </w:rPr>
        <w:t xml:space="preserve">Evaluate </w:t>
      </w:r>
      <w:r>
        <w:t xml:space="preserve">how material sustainability factors—including climate, nature, resources, workforce, regulation, and transition—affect operating forecasts, capital expenditure, cost of capital, financing capacity, resilience, terminal value, and valuation uncertainty. </w:t>
      </w:r>
      <w:r>
        <w:rPr>
          <w:color w:val="666666"/>
          <w:sz w:val="20"/>
        </w:rPr>
        <w:t>[Bloom's Level 5: Evaluate]</w:t>
      </w:r>
    </w:p>
    <w:p w14:paraId="31E48A39" w14:textId="77777777" w:rsidR="005C0B24" w:rsidRDefault="00000000">
      <w:pPr>
        <w:pStyle w:val="ListParagraph"/>
        <w:numPr>
          <w:ilvl w:val="0"/>
          <w:numId w:val="2"/>
        </w:numPr>
        <w:spacing w:before="80" w:after="80"/>
      </w:pPr>
      <w:r>
        <w:rPr>
          <w:b/>
        </w:rPr>
        <w:t xml:space="preserve">Develop and defend </w:t>
      </w:r>
      <w:r>
        <w:t xml:space="preserve">a long-term capital-allocation, financing, and value-creation recommendation that integrates enterprise value, resilience, stakeholder consequences, sustainability performance, governance, ethical constraints, scenarios, implementation, and transparent professional judgment. </w:t>
      </w:r>
      <w:r>
        <w:rPr>
          <w:color w:val="666666"/>
          <w:sz w:val="20"/>
        </w:rPr>
        <w:t>[Bloom's Level 6: Create]</w:t>
      </w:r>
    </w:p>
    <w:p w14:paraId="708F745F" w14:textId="77777777" w:rsidR="005C0B24" w:rsidRDefault="005C0B24"/>
    <w:p w14:paraId="4A704225" w14:textId="77777777" w:rsidR="005C0B24" w:rsidRDefault="00000000">
      <w:pPr>
        <w:pStyle w:val="Heading1"/>
      </w:pPr>
      <w:r>
        <w:t>3. Required Materials</w:t>
      </w:r>
    </w:p>
    <w:p w14:paraId="4FA652FE" w14:textId="77777777" w:rsidR="005C0B24" w:rsidRDefault="00000000">
      <w:pPr>
        <w:pStyle w:val="Heading2"/>
      </w:pPr>
      <w:r>
        <w:t>3.1 Main Texts and Open Educational Resource (OER)</w:t>
      </w:r>
    </w:p>
    <w:p w14:paraId="3ACAB40A" w14:textId="77777777" w:rsidR="005C0B24" w:rsidRDefault="00000000">
      <w:pPr>
        <w:pStyle w:val="ListParagraph"/>
        <w:numPr>
          <w:ilvl w:val="0"/>
          <w:numId w:val="3"/>
        </w:numPr>
        <w:spacing w:before="80" w:after="80"/>
      </w:pPr>
      <w:r>
        <w:t>Main Text 1 (Paid): Berk, J., &amp; DeMarzo, P. (2024). Corporate finance (6th ed.). Pearson. https://www.pearson.com/en-us/subject-catalog/p/corporate-finance/P200000009791/9780137844906</w:t>
      </w:r>
    </w:p>
    <w:p w14:paraId="3ACAB40A" w14:textId="77777777" w:rsidR="005C0B24" w:rsidRDefault="00000000">
      <w:pPr>
        <w:pStyle w:val="ListParagraph"/>
        <w:numPr>
          <w:ilvl w:val="0"/>
          <w:numId w:val="3"/>
        </w:numPr>
        <w:spacing w:before="80" w:after="80"/>
      </w:pPr>
      <w:r>
        <w:t>Main Text 2 (OER): Dahlquist, J., &amp; Knight, R. (2022). Principles of finance. OpenStax. CC BY 4.0. https://openstax.org/details/books/principles-finance</w:t>
      </w:r>
    </w:p>
    <w:p w14:paraId="0D69AE57" w14:textId="77777777" w:rsidR="005C0B24" w:rsidRDefault="005C0B24"/>
    <w:p w14:paraId="2A51F6C1" w14:textId="77777777" w:rsidR="005C0B24" w:rsidRDefault="00000000">
      <w:pPr>
        <w:pStyle w:val="Heading2"/>
      </w:pPr>
      <w:r>
        <w:t>3.2 Supplementary Texts (Non-Open Educational Resources)</w:t>
      </w:r>
    </w:p>
    <w:p w14:paraId="257417F7" w14:textId="77777777" w:rsidR="005C0B24" w:rsidRDefault="00000000">
      <w:pPr>
        <w:pStyle w:val="ListParagraph"/>
        <w:numPr>
          <w:ilvl w:val="0"/>
          <w:numId w:val="3"/>
        </w:numPr>
        <w:spacing w:before="80" w:after="80"/>
      </w:pPr>
      <w:r>
        <w:t>Koller, T., Goedhart, M., Wessels, D., &amp; McKinsey &amp; Company. (2025). Valuation: Measuring and managing the value of companies (8th ed.). Wiley. Paid text/e-book; selected chapters.</w:t>
      </w:r>
    </w:p>
    <w:p w14:paraId="71C82E00" w14:textId="77777777" w:rsidR="005C0B24" w:rsidRDefault="00000000">
      <w:pPr>
        <w:pStyle w:val="ListParagraph"/>
        <w:numPr>
          <w:ilvl w:val="0"/>
          <w:numId w:val="3"/>
        </w:numPr>
        <w:spacing w:before="80" w:after="80"/>
      </w:pPr>
      <w:r>
        <w:t>Damodaran, A. (2012). Investment valuation: Tools and techniques for determining the value of any asset (3rd ed.). Wiley. Paid reference; selected chapters, with current open datasets and spreadsheets from the author's NYU site.</w:t>
      </w:r>
    </w:p>
    <w:p w14:paraId="2799BCF3" w14:textId="77777777" w:rsidR="005C0B24" w:rsidRDefault="00000000">
      <w:pPr>
        <w:pStyle w:val="ListParagraph"/>
        <w:numPr>
          <w:ilvl w:val="0"/>
          <w:numId w:val="3"/>
        </w:numPr>
        <w:spacing w:before="80" w:after="80"/>
      </w:pPr>
      <w:r>
        <w:t>Selected current peer-reviewed research on corporate investment, capital structure, payout, valuation, climate finance, sustainability-related financial effects, and managerial decision making.</w:t>
      </w:r>
    </w:p>
    <w:p w14:paraId="4FF26EFF" w14:textId="77777777" w:rsidR="005C0B24" w:rsidRDefault="00000000">
      <w:pPr>
        <w:pStyle w:val="ListParagraph"/>
        <w:numPr>
          <w:ilvl w:val="0"/>
          <w:numId w:val="3"/>
        </w:numPr>
        <w:spacing w:before="80" w:after="80"/>
      </w:pPr>
      <w:r>
        <w:t>Current audited financial statements, securities filings, investor materials, market data, macroeconomic evidence, and sustainability-related disclosures for approved organizations and jurisdictions.</w:t>
      </w:r>
    </w:p>
    <w:p w14:paraId="229919BC" w14:textId="77777777" w:rsidR="005C0B24" w:rsidRDefault="005C0B24"/>
    <w:p w14:paraId="667D06C1" w14:textId="77777777" w:rsidR="005C0B24" w:rsidRDefault="00000000">
      <w:pPr>
        <w:pStyle w:val="Heading2"/>
      </w:pPr>
      <w:r>
        <w:t>3.3 Open Educational Resources (OER)</w:t>
      </w:r>
    </w:p>
    <w:p w14:paraId="65790290" w14:textId="77777777" w:rsidR="005C0B24" w:rsidRDefault="00000000">
      <w:pPr>
        <w:pStyle w:val="ListParagraph"/>
        <w:numPr>
          <w:ilvl w:val="0"/>
          <w:numId w:val="3"/>
        </w:numPr>
        <w:spacing w:before="80" w:after="80"/>
      </w:pPr>
      <w:r>
        <w:t>OpenStax Principles of Finance (CC BY 4.0): https://openstax.org/details/books/principles-finance</w:t>
      </w:r>
    </w:p>
    <w:p w14:paraId="6E643017" w14:textId="77777777" w:rsidR="005C0B24" w:rsidRDefault="00000000">
      <w:pPr>
        <w:pStyle w:val="ListParagraph"/>
        <w:numPr>
          <w:ilvl w:val="0"/>
          <w:numId w:val="3"/>
        </w:numPr>
        <w:spacing w:before="80" w:after="80"/>
      </w:pPr>
      <w:r>
        <w:t>Aswath Damodaran's NYU valuation resources, datasets, lecture materials, and spreadsheets: https://pages.stern.nyu.edu/~adamodar/</w:t>
      </w:r>
    </w:p>
    <w:p w14:paraId="1495E422" w14:textId="77777777" w:rsidR="005C0B24" w:rsidRDefault="00000000">
      <w:pPr>
        <w:pStyle w:val="ListParagraph"/>
        <w:numPr>
          <w:ilvl w:val="0"/>
          <w:numId w:val="3"/>
        </w:numPr>
        <w:spacing w:before="80" w:after="80"/>
      </w:pPr>
      <w:r>
        <w:t>U.S. Securities and Exchange Commission EDGAR public company filings: https://www.sec.gov/search-filings</w:t>
      </w:r>
    </w:p>
    <w:p w14:paraId="555DB6E7" w14:textId="77777777" w:rsidR="005C0B24" w:rsidRDefault="00000000">
      <w:pPr>
        <w:pStyle w:val="ListParagraph"/>
        <w:numPr>
          <w:ilvl w:val="0"/>
          <w:numId w:val="3"/>
        </w:numPr>
        <w:spacing w:before="80" w:after="80"/>
      </w:pPr>
      <w:r>
        <w:t>IFRS Foundation sustainability standards and implementation resources, including IFRS S1 and IFRS S2: https://www.ifrs.org/sustainability/knowledge-hub/</w:t>
      </w:r>
    </w:p>
    <w:p w14:paraId="073EB1DC" w14:textId="77777777" w:rsidR="005C0B24" w:rsidRDefault="00000000">
      <w:pPr>
        <w:pStyle w:val="ListParagraph"/>
        <w:numPr>
          <w:ilvl w:val="0"/>
          <w:numId w:val="3"/>
        </w:numPr>
        <w:spacing w:before="80" w:after="80"/>
      </w:pPr>
      <w:r>
        <w:t>Greenhouse Gas Protocol standards and guidance: https://ghgprotocol.org/standards-guidance</w:t>
      </w:r>
    </w:p>
    <w:p w14:paraId="0B39F4A8" w14:textId="77777777" w:rsidR="005C0B24" w:rsidRDefault="00000000">
      <w:pPr>
        <w:pStyle w:val="ListParagraph"/>
        <w:numPr>
          <w:ilvl w:val="0"/>
          <w:numId w:val="3"/>
        </w:numPr>
        <w:spacing w:before="80" w:after="80"/>
      </w:pPr>
      <w:r>
        <w:t>European Commission EU Taxonomy for sustainable activities: https://finance.ec.europa.eu/sustainable-finance/tools-and-standards/eu-taxonomy-sustainable-activities_en</w:t>
      </w:r>
    </w:p>
    <w:p w14:paraId="496B7931" w14:textId="77777777" w:rsidR="005C0B24" w:rsidRDefault="00000000">
      <w:pPr>
        <w:pStyle w:val="ListParagraph"/>
        <w:numPr>
          <w:ilvl w:val="0"/>
          <w:numId w:val="3"/>
        </w:numPr>
        <w:spacing w:before="80" w:after="80"/>
      </w:pPr>
      <w:r>
        <w:t>Federal Reserve Economic Data (FRED) for rates, inflation, spreads, and macroeconomic series: https://fred.stlouisfed.org/</w:t>
      </w:r>
    </w:p>
    <w:p w14:paraId="3B15346D" w14:textId="77777777" w:rsidR="005C0B24" w:rsidRDefault="00000000">
      <w:pPr>
        <w:pStyle w:val="ListParagraph"/>
        <w:numPr>
          <w:ilvl w:val="0"/>
          <w:numId w:val="3"/>
        </w:numPr>
        <w:spacing w:before="80" w:after="80"/>
      </w:pPr>
      <w:r>
        <w:t>Selected current open-access central-bank, securities-regulator, government, intergovernmental, academic, exchange, and corporate-finance resources.</w:t>
      </w:r>
    </w:p>
    <w:p w14:paraId="37891B74" w14:textId="77777777" w:rsidR="005C0B24" w:rsidRDefault="005C0B24"/>
    <w:p w14:paraId="21EF1386" w14:textId="77777777" w:rsidR="005C0B24" w:rsidRDefault="00000000">
      <w:pPr>
        <w:pStyle w:val="Heading2"/>
      </w:pPr>
      <w:r>
        <w:t>3.4 Technology Requirements</w:t>
      </w:r>
    </w:p>
    <w:p w14:paraId="6BCCC21C" w14:textId="77777777" w:rsidR="005C0B24" w:rsidRDefault="00000000">
      <w:pPr>
        <w:pStyle w:val="ListParagraph"/>
        <w:numPr>
          <w:ilvl w:val="0"/>
          <w:numId w:val="3"/>
        </w:numPr>
        <w:spacing w:before="80" w:after="80"/>
      </w:pPr>
      <w:r>
        <w:t>Reliable internet connection and Learning Management System access</w:t>
      </w:r>
    </w:p>
    <w:p w14:paraId="293FA27C" w14:textId="77777777" w:rsidR="005C0B24" w:rsidRDefault="00000000">
      <w:pPr>
        <w:pStyle w:val="ListParagraph"/>
        <w:numPr>
          <w:ilvl w:val="0"/>
          <w:numId w:val="3"/>
        </w:numPr>
        <w:spacing w:before="80" w:after="80"/>
      </w:pPr>
      <w:r>
        <w:t>Spreadsheet software capable of integrated financial statements, discounted cash flow, scenario, sensitivity, data-table, chart, and audit-trail work</w:t>
      </w:r>
    </w:p>
    <w:p w14:paraId="094941B2" w14:textId="77777777" w:rsidR="005C0B24" w:rsidRDefault="00000000">
      <w:pPr>
        <w:pStyle w:val="ListParagraph"/>
        <w:numPr>
          <w:ilvl w:val="0"/>
          <w:numId w:val="3"/>
        </w:numPr>
        <w:spacing w:before="80" w:after="80"/>
      </w:pPr>
      <w:r>
        <w:t>Instructor-approved financial database, market-data, filings, visualization, collaboration, and artificial-intelligence tools; multiple commercial subscriptions are not required</w:t>
      </w:r>
    </w:p>
    <w:p w14:paraId="5A6A0A8D" w14:textId="77777777" w:rsidR="005C0B24" w:rsidRDefault="00000000">
      <w:pPr>
        <w:pStyle w:val="ListParagraph"/>
        <w:numPr>
          <w:ilvl w:val="0"/>
          <w:numId w:val="3"/>
        </w:numPr>
        <w:spacing w:before="80" w:after="80"/>
      </w:pPr>
      <w:r>
        <w:t>PDF annotation and video-conferencing capability for source review, valuation laboratories, board simulations, executive briefings, and the final oral defence</w:t>
      </w:r>
    </w:p>
    <w:p w14:paraId="3123A89A" w14:textId="77777777" w:rsidR="005C0B24" w:rsidRDefault="005C0B24"/>
    <w:p w14:paraId="4007EC92" w14:textId="77777777" w:rsidR="005C0B24" w:rsidRDefault="00000000">
      <w:pPr>
        <w:pStyle w:val="Heading1"/>
      </w:pPr>
      <w:r>
        <w:t>4. Assessment Structure</w:t>
      </w:r>
    </w:p>
    <w:p w14:paraId="0B0B619A" w14:textId="77777777" w:rsidR="005C0B24" w:rsidRDefault="00000000">
      <w:pPr>
        <w:spacing w:before="100" w:after="150"/>
      </w:pPr>
      <w:r>
        <w:t>The course combines Valuation and Capital-Allocation Studios, a Forecasting and Cost-of-Capital Model, an independently completed midterm examination, a Board Capital-Allocation and Financing Memo, and the Week 14 Integrated Corporate Valuation and Value-Creation Plan. The final project replaces a conventional final examination.</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56"/>
        <w:gridCol w:w="1755"/>
        <w:gridCol w:w="1355"/>
        <w:gridCol w:w="2558"/>
      </w:tblGrid>
      <w:tr w:rsidR="005C0B24" w14:paraId="1EC205E1" w14:textId="77777777">
        <w:tblPrEx>
          <w:tblCellMar>
            <w:top w:w="0" w:type="dxa"/>
            <w:bottom w:w="0" w:type="dxa"/>
          </w:tblCellMar>
        </w:tblPrEx>
        <w:trPr>
          <w:tblHeader w:val="true"/>
          <w:cantSplit w:val="true"/>
        </w:trPr>
        <w:tc>
          <w:tcPr>
            <w:tcW w:w="3500" w:type="dxa"/>
            <w:tcBorders>
              <w:top w:val="single" w:sz="1" w:space="0" w:color="999999"/>
              <w:left w:val="single" w:sz="1" w:space="0" w:color="999999"/>
              <w:bottom w:val="single" w:sz="1" w:space="0" w:color="999999"/>
              <w:right w:val="single" w:sz="1" w:space="0" w:color="999999"/>
            </w:tcBorders>
            <w:shd w:val="clear" w:color="auto" w:fill="1F4E79"/>
          </w:tcPr>
          <w:p w14:paraId="4EAC0C23" w14:textId="77777777" w:rsidR="005C0B24" w:rsidRDefault="00000000">
            <w:pPr>
              <w:jc w:val="center"/>
            </w:pPr>
            <w:r>
              <w:rPr>
                <w:b/>
                <w:bCs/>
                <w:color w:val="FFFFFF"/>
                <w:sz w:val="20"/>
                <w:szCs w:val="20"/>
              </w:rPr>
              <w:t>Assessment Component</w:t>
            </w:r>
          </w:p>
        </w:tc>
        <w:tc>
          <w:tcPr>
            <w:tcW w:w="1800" w:type="dxa"/>
            <w:tcBorders>
              <w:top w:val="single" w:sz="1" w:space="0" w:color="999999"/>
              <w:left w:val="single" w:sz="1" w:space="0" w:color="999999"/>
              <w:bottom w:val="single" w:sz="1" w:space="0" w:color="999999"/>
              <w:right w:val="single" w:sz="1" w:space="0" w:color="999999"/>
            </w:tcBorders>
            <w:shd w:val="clear" w:color="auto" w:fill="1F4E79"/>
          </w:tcPr>
          <w:p w14:paraId="395A8796" w14:textId="77777777" w:rsidR="005C0B24" w:rsidRDefault="00000000">
            <w:pPr>
              <w:jc w:val="center"/>
            </w:pPr>
            <w:r>
              <w:rPr>
                <w:b/>
                <w:bCs/>
                <w:color w:val="FFFFFF"/>
                <w:sz w:val="20"/>
                <w:szCs w:val="20"/>
              </w:rPr>
              <w:t>Type</w:t>
            </w:r>
          </w:p>
        </w:tc>
        <w:tc>
          <w:tcPr>
            <w:tcW w:w="1400" w:type="dxa"/>
            <w:tcBorders>
              <w:top w:val="single" w:sz="1" w:space="0" w:color="999999"/>
              <w:left w:val="single" w:sz="1" w:space="0" w:color="999999"/>
              <w:bottom w:val="single" w:sz="1" w:space="0" w:color="999999"/>
              <w:right w:val="single" w:sz="1" w:space="0" w:color="999999"/>
            </w:tcBorders>
            <w:shd w:val="clear" w:color="auto" w:fill="1F4E79"/>
          </w:tcPr>
          <w:p w14:paraId="61105C68" w14:textId="77777777" w:rsidR="005C0B24" w:rsidRDefault="00000000">
            <w:pPr>
              <w:jc w:val="center"/>
            </w:pPr>
            <w:r>
              <w:rPr>
                <w:b/>
                <w:bCs/>
                <w:color w:val="FFFFFF"/>
                <w:sz w:val="20"/>
                <w:szCs w:val="20"/>
              </w:rPr>
              <w:t>Weight</w:t>
            </w:r>
          </w:p>
        </w:tc>
        <w:tc>
          <w:tcPr>
            <w:tcW w:w="2660" w:type="dxa"/>
            <w:tcBorders>
              <w:top w:val="single" w:sz="1" w:space="0" w:color="999999"/>
              <w:left w:val="single" w:sz="1" w:space="0" w:color="999999"/>
              <w:bottom w:val="single" w:sz="1" w:space="0" w:color="999999"/>
              <w:right w:val="single" w:sz="1" w:space="0" w:color="999999"/>
            </w:tcBorders>
            <w:shd w:val="clear" w:color="auto" w:fill="1F4E79"/>
          </w:tcPr>
          <w:p w14:paraId="4BB5F698" w14:textId="77777777" w:rsidR="005C0B24" w:rsidRDefault="00000000">
            <w:pPr>
              <w:jc w:val="center"/>
            </w:pPr>
            <w:r>
              <w:rPr>
                <w:b/>
                <w:bCs/>
                <w:color w:val="FFFFFF"/>
                <w:sz w:val="20"/>
                <w:szCs w:val="20"/>
              </w:rPr>
              <w:t>Due Date</w:t>
            </w:r>
          </w:p>
        </w:tc>
      </w:tr>
      <w:tr w:rsidR="005C0B24" w14:paraId="35D2C240"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tcPr>
          <w:p w14:paraId="1468485B" w14:textId="77777777" w:rsidR="005C0B24" w:rsidRDefault="00000000">
            <w:r>
              <w:rPr>
                <w:sz w:val="20"/>
                <w:szCs w:val="20"/>
              </w:rPr>
              <w:t>Valuation &amp; Capital-Allocation Studios</w:t>
            </w:r>
          </w:p>
        </w:tc>
        <w:tc>
          <w:tcPr>
            <w:tcW w:w="1800" w:type="dxa"/>
            <w:tcBorders>
              <w:top w:val="single" w:sz="1" w:space="0" w:color="999999"/>
              <w:left w:val="single" w:sz="1" w:space="0" w:color="999999"/>
              <w:bottom w:val="single" w:sz="1" w:space="0" w:color="999999"/>
              <w:right w:val="single" w:sz="1" w:space="0" w:color="999999"/>
            </w:tcBorders>
          </w:tcPr>
          <w:p w14:paraId="7FAC86B3" w14:textId="77777777" w:rsidR="005C0B24" w:rsidRDefault="00000000">
            <w:pPr>
              <w:jc w:val="center"/>
            </w:pPr>
            <w:r>
              <w:rPr>
                <w:sz w:val="20"/>
                <w:szCs w:val="20"/>
              </w:rPr>
              <w:t>Ongoing</w:t>
            </w:r>
          </w:p>
        </w:tc>
        <w:tc>
          <w:tcPr>
            <w:tcW w:w="1400" w:type="dxa"/>
            <w:tcBorders>
              <w:top w:val="single" w:sz="1" w:space="0" w:color="999999"/>
              <w:left w:val="single" w:sz="1" w:space="0" w:color="999999"/>
              <w:bottom w:val="single" w:sz="1" w:space="0" w:color="999999"/>
              <w:right w:val="single" w:sz="1" w:space="0" w:color="999999"/>
            </w:tcBorders>
          </w:tcPr>
          <w:p w14:paraId="18B87159" w14:textId="77777777" w:rsidR="005C0B24" w:rsidRDefault="00000000">
            <w:pPr>
              <w:jc w:val="center"/>
            </w:pPr>
            <w:r>
              <w:rPr>
                <w:sz w:val="20"/>
                <w:szCs w:val="20"/>
              </w:rPr>
              <w:t>10%</w:t>
            </w:r>
          </w:p>
        </w:tc>
        <w:tc>
          <w:tcPr>
            <w:tcW w:w="2660" w:type="dxa"/>
            <w:tcBorders>
              <w:top w:val="single" w:sz="1" w:space="0" w:color="999999"/>
              <w:left w:val="single" w:sz="1" w:space="0" w:color="999999"/>
              <w:bottom w:val="single" w:sz="1" w:space="0" w:color="999999"/>
              <w:right w:val="single" w:sz="1" w:space="0" w:color="999999"/>
            </w:tcBorders>
          </w:tcPr>
          <w:p w14:paraId="76E12198" w14:textId="77777777" w:rsidR="005C0B24" w:rsidRDefault="00000000">
            <w:pPr>
              <w:jc w:val="center"/>
            </w:pPr>
            <w:r>
              <w:rPr>
                <w:sz w:val="20"/>
                <w:szCs w:val="20"/>
              </w:rPr>
              <w:t>Continuous</w:t>
            </w:r>
          </w:p>
        </w:tc>
      </w:tr>
      <w:tr w:rsidR="005C0B24" w14:paraId="1D5C0B60"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shd w:val="clear" w:color="auto" w:fill="F2F2F2"/>
          </w:tcPr>
          <w:p w14:paraId="7172D8CE" w14:textId="77777777" w:rsidR="005C0B24" w:rsidRDefault="00000000">
            <w:r>
              <w:rPr>
                <w:sz w:val="20"/>
                <w:szCs w:val="20"/>
              </w:rPr>
              <w:t>Forecasting &amp; Cost-of-Capital Model</w:t>
            </w:r>
          </w:p>
        </w:tc>
        <w:tc>
          <w:tcPr>
            <w:tcW w:w="1800" w:type="dxa"/>
            <w:tcBorders>
              <w:top w:val="single" w:sz="1" w:space="0" w:color="999999"/>
              <w:left w:val="single" w:sz="1" w:space="0" w:color="999999"/>
              <w:bottom w:val="single" w:sz="1" w:space="0" w:color="999999"/>
              <w:right w:val="single" w:sz="1" w:space="0" w:color="999999"/>
            </w:tcBorders>
            <w:shd w:val="clear" w:color="auto" w:fill="F2F2F2"/>
          </w:tcPr>
          <w:p w14:paraId="5DF44295" w14:textId="77777777" w:rsidR="005C0B24" w:rsidRDefault="00000000">
            <w:r>
              <w:rPr>
                <w:b/>
                <w:bCs/>
                <w:sz w:val="20"/>
                <w:szCs w:val="20"/>
              </w:rPr>
              <w:t>Formative</w:t>
            </w:r>
          </w:p>
        </w:tc>
        <w:tc>
          <w:tcPr>
            <w:tcW w:w="1400" w:type="dxa"/>
            <w:tcBorders>
              <w:top w:val="single" w:sz="1" w:space="0" w:color="999999"/>
              <w:left w:val="single" w:sz="1" w:space="0" w:color="999999"/>
              <w:bottom w:val="single" w:sz="1" w:space="0" w:color="999999"/>
              <w:right w:val="single" w:sz="1" w:space="0" w:color="999999"/>
            </w:tcBorders>
            <w:shd w:val="clear" w:color="auto" w:fill="F2F2F2"/>
          </w:tcPr>
          <w:p w14:paraId="7EAB2FC2" w14:textId="77777777" w:rsidR="005C0B24" w:rsidRDefault="00000000">
            <w:pPr>
              <w:jc w:val="center"/>
            </w:pPr>
            <w:r>
              <w:rPr>
                <w:sz w:val="20"/>
                <w:szCs w:val="20"/>
              </w:rPr>
              <w:t>15%</w:t>
            </w:r>
          </w:p>
        </w:tc>
        <w:tc>
          <w:tcPr>
            <w:tcW w:w="2660" w:type="dxa"/>
            <w:tcBorders>
              <w:top w:val="single" w:sz="1" w:space="0" w:color="999999"/>
              <w:left w:val="single" w:sz="1" w:space="0" w:color="999999"/>
              <w:bottom w:val="single" w:sz="1" w:space="0" w:color="999999"/>
              <w:right w:val="single" w:sz="1" w:space="0" w:color="999999"/>
            </w:tcBorders>
            <w:shd w:val="clear" w:color="auto" w:fill="F2F2F2"/>
          </w:tcPr>
          <w:p w14:paraId="08541952" w14:textId="77777777" w:rsidR="005C0B24" w:rsidRDefault="00000000">
            <w:pPr>
              <w:jc w:val="center"/>
            </w:pPr>
            <w:r>
              <w:rPr>
                <w:sz w:val="20"/>
                <w:szCs w:val="20"/>
              </w:rPr>
              <w:t>Week 4</w:t>
            </w:r>
          </w:p>
        </w:tc>
      </w:tr>
      <w:tr w:rsidR="005C0B24" w14:paraId="40C12C75"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tcPr>
          <w:p w14:paraId="6F2D1845" w14:textId="77777777" w:rsidR="005C0B24" w:rsidRDefault="00000000">
            <w:r>
              <w:rPr>
                <w:sz w:val="20"/>
                <w:szCs w:val="20"/>
              </w:rPr>
              <w:t>Midterm Examination</w:t>
            </w:r>
          </w:p>
        </w:tc>
        <w:tc>
          <w:tcPr>
            <w:tcW w:w="1800" w:type="dxa"/>
            <w:tcBorders>
              <w:top w:val="single" w:sz="1" w:space="0" w:color="999999"/>
              <w:left w:val="single" w:sz="1" w:space="0" w:color="999999"/>
              <w:bottom w:val="single" w:sz="1" w:space="0" w:color="999999"/>
              <w:right w:val="single" w:sz="1" w:space="0" w:color="999999"/>
            </w:tcBorders>
          </w:tcPr>
          <w:p w14:paraId="30090A53" w14:textId="77777777" w:rsidR="005C0B24" w:rsidRDefault="00000000">
            <w:r>
              <w:rPr>
                <w:b/>
                <w:bCs/>
                <w:sz w:val="20"/>
                <w:szCs w:val="20"/>
              </w:rPr>
              <w:t>Summative</w:t>
            </w:r>
          </w:p>
        </w:tc>
        <w:tc>
          <w:tcPr>
            <w:tcW w:w="1400" w:type="dxa"/>
            <w:tcBorders>
              <w:top w:val="single" w:sz="1" w:space="0" w:color="999999"/>
              <w:left w:val="single" w:sz="1" w:space="0" w:color="999999"/>
              <w:bottom w:val="single" w:sz="1" w:space="0" w:color="999999"/>
              <w:right w:val="single" w:sz="1" w:space="0" w:color="999999"/>
            </w:tcBorders>
          </w:tcPr>
          <w:p w14:paraId="65DDE459" w14:textId="77777777" w:rsidR="005C0B24" w:rsidRDefault="00000000">
            <w:pPr>
              <w:jc w:val="center"/>
            </w:pPr>
            <w:r>
              <w:rPr>
                <w:sz w:val="20"/>
                <w:szCs w:val="20"/>
              </w:rPr>
              <w:t>20%</w:t>
            </w:r>
          </w:p>
        </w:tc>
        <w:tc>
          <w:tcPr>
            <w:tcW w:w="2660" w:type="dxa"/>
            <w:tcBorders>
              <w:top w:val="single" w:sz="1" w:space="0" w:color="999999"/>
              <w:left w:val="single" w:sz="1" w:space="0" w:color="999999"/>
              <w:bottom w:val="single" w:sz="1" w:space="0" w:color="999999"/>
              <w:right w:val="single" w:sz="1" w:space="0" w:color="999999"/>
            </w:tcBorders>
          </w:tcPr>
          <w:p w14:paraId="0C8E0E24" w14:textId="77777777" w:rsidR="005C0B24" w:rsidRDefault="00000000">
            <w:pPr>
              <w:jc w:val="center"/>
            </w:pPr>
            <w:r>
              <w:rPr>
                <w:sz w:val="20"/>
                <w:szCs w:val="20"/>
              </w:rPr>
              <w:t>Week 7</w:t>
            </w:r>
          </w:p>
        </w:tc>
      </w:tr>
      <w:tr w:rsidR="005C0B24" w14:paraId="75B90515"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shd w:val="clear" w:color="auto" w:fill="F2F2F2"/>
          </w:tcPr>
          <w:p w14:paraId="4DD352E1" w14:textId="77777777" w:rsidR="005C0B24" w:rsidRDefault="00000000">
            <w:r>
              <w:rPr>
                <w:sz w:val="20"/>
                <w:szCs w:val="20"/>
              </w:rPr>
              <w:t>Board Capital-Allocation &amp; Financing Memo</w:t>
            </w:r>
          </w:p>
        </w:tc>
        <w:tc>
          <w:tcPr>
            <w:tcW w:w="1800" w:type="dxa"/>
            <w:tcBorders>
              <w:top w:val="single" w:sz="1" w:space="0" w:color="999999"/>
              <w:left w:val="single" w:sz="1" w:space="0" w:color="999999"/>
              <w:bottom w:val="single" w:sz="1" w:space="0" w:color="999999"/>
              <w:right w:val="single" w:sz="1" w:space="0" w:color="999999"/>
            </w:tcBorders>
            <w:shd w:val="clear" w:color="auto" w:fill="F2F2F2"/>
          </w:tcPr>
          <w:p w14:paraId="3F1F5B6E" w14:textId="77777777" w:rsidR="005C0B24" w:rsidRDefault="00000000">
            <w:r>
              <w:rPr>
                <w:b/>
                <w:bCs/>
                <w:sz w:val="20"/>
                <w:szCs w:val="20"/>
              </w:rPr>
              <w:t>Summative</w:t>
            </w:r>
          </w:p>
        </w:tc>
        <w:tc>
          <w:tcPr>
            <w:tcW w:w="1400" w:type="dxa"/>
            <w:tcBorders>
              <w:top w:val="single" w:sz="1" w:space="0" w:color="999999"/>
              <w:left w:val="single" w:sz="1" w:space="0" w:color="999999"/>
              <w:bottom w:val="single" w:sz="1" w:space="0" w:color="999999"/>
              <w:right w:val="single" w:sz="1" w:space="0" w:color="999999"/>
            </w:tcBorders>
            <w:shd w:val="clear" w:color="auto" w:fill="F2F2F2"/>
          </w:tcPr>
          <w:p w14:paraId="31034EB3" w14:textId="77777777" w:rsidR="005C0B24" w:rsidRDefault="00000000">
            <w:pPr>
              <w:jc w:val="center"/>
            </w:pPr>
            <w:r>
              <w:rPr>
                <w:sz w:val="20"/>
                <w:szCs w:val="20"/>
              </w:rPr>
              <w:t>15%</w:t>
            </w:r>
          </w:p>
        </w:tc>
        <w:tc>
          <w:tcPr>
            <w:tcW w:w="2660" w:type="dxa"/>
            <w:tcBorders>
              <w:top w:val="single" w:sz="1" w:space="0" w:color="999999"/>
              <w:left w:val="single" w:sz="1" w:space="0" w:color="999999"/>
              <w:bottom w:val="single" w:sz="1" w:space="0" w:color="999999"/>
              <w:right w:val="single" w:sz="1" w:space="0" w:color="999999"/>
            </w:tcBorders>
            <w:shd w:val="clear" w:color="auto" w:fill="F2F2F2"/>
          </w:tcPr>
          <w:p w14:paraId="66EEE44B" w14:textId="77777777" w:rsidR="005C0B24" w:rsidRDefault="00000000">
            <w:pPr>
              <w:jc w:val="center"/>
            </w:pPr>
            <w:r>
              <w:rPr>
                <w:sz w:val="20"/>
                <w:szCs w:val="20"/>
              </w:rPr>
              <w:t>Week 10</w:t>
            </w:r>
          </w:p>
        </w:tc>
      </w:tr>
      <w:tr w:rsidR="005C0B24" w14:paraId="2B0EC11C"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tcPr>
          <w:p w14:paraId="5604EFC9" w14:textId="77777777" w:rsidR="005C0B24" w:rsidRDefault="00000000">
            <w:r>
              <w:rPr>
                <w:sz w:val="20"/>
                <w:szCs w:val="20"/>
              </w:rPr>
              <w:t>Integrated Corporate Valuation &amp; Value-Creation Plan</w:t>
            </w:r>
          </w:p>
        </w:tc>
        <w:tc>
          <w:tcPr>
            <w:tcW w:w="1800" w:type="dxa"/>
            <w:tcBorders>
              <w:top w:val="single" w:sz="1" w:space="0" w:color="999999"/>
              <w:left w:val="single" w:sz="1" w:space="0" w:color="999999"/>
              <w:bottom w:val="single" w:sz="1" w:space="0" w:color="999999"/>
              <w:right w:val="single" w:sz="1" w:space="0" w:color="999999"/>
            </w:tcBorders>
          </w:tcPr>
          <w:p w14:paraId="166FE749" w14:textId="77777777" w:rsidR="005C0B24" w:rsidRDefault="00000000">
            <w:r>
              <w:rPr>
                <w:b/>
                <w:bCs/>
                <w:sz w:val="20"/>
                <w:szCs w:val="20"/>
              </w:rPr>
              <w:t>Summative</w:t>
            </w:r>
          </w:p>
        </w:tc>
        <w:tc>
          <w:tcPr>
            <w:tcW w:w="1400" w:type="dxa"/>
            <w:tcBorders>
              <w:top w:val="single" w:sz="1" w:space="0" w:color="999999"/>
              <w:left w:val="single" w:sz="1" w:space="0" w:color="999999"/>
              <w:bottom w:val="single" w:sz="1" w:space="0" w:color="999999"/>
              <w:right w:val="single" w:sz="1" w:space="0" w:color="999999"/>
            </w:tcBorders>
          </w:tcPr>
          <w:p w14:paraId="5E089942" w14:textId="77777777" w:rsidR="005C0B24" w:rsidRDefault="00000000">
            <w:pPr>
              <w:jc w:val="center"/>
            </w:pPr>
            <w:r>
              <w:rPr>
                <w:sz w:val="20"/>
                <w:szCs w:val="20"/>
              </w:rPr>
              <w:t>40%</w:t>
            </w:r>
          </w:p>
        </w:tc>
        <w:tc>
          <w:tcPr>
            <w:tcW w:w="2660" w:type="dxa"/>
            <w:tcBorders>
              <w:top w:val="single" w:sz="1" w:space="0" w:color="999999"/>
              <w:left w:val="single" w:sz="1" w:space="0" w:color="999999"/>
              <w:bottom w:val="single" w:sz="1" w:space="0" w:color="999999"/>
              <w:right w:val="single" w:sz="1" w:space="0" w:color="999999"/>
            </w:tcBorders>
          </w:tcPr>
          <w:p w14:paraId="0AEC6C98" w14:textId="77777777" w:rsidR="005C0B24" w:rsidRDefault="00000000">
            <w:pPr>
              <w:jc w:val="center"/>
            </w:pPr>
            <w:r>
              <w:rPr>
                <w:sz w:val="20"/>
                <w:szCs w:val="20"/>
              </w:rPr>
              <w:t>Week 14</w:t>
            </w:r>
          </w:p>
        </w:tc>
      </w:tr>
      <w:tr w:rsidR="005C0B24" w14:paraId="36A823CA"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shd w:val="clear" w:color="auto" w:fill="1F4E79"/>
          </w:tcPr>
          <w:p w14:paraId="70132A5B" w14:textId="77777777" w:rsidR="005C0B24" w:rsidRDefault="00000000">
            <w:r>
              <w:rPr>
                <w:b/>
                <w:bCs/>
                <w:sz w:val="20"/>
                <w:szCs w:val="20"/>
              </w:rPr>
              <w:t>TOTAL</w:t>
            </w:r>
          </w:p>
        </w:tc>
        <w:tc>
          <w:tcPr>
            <w:tcW w:w="1800" w:type="dxa"/>
            <w:tcBorders>
              <w:top w:val="single" w:sz="1" w:space="0" w:color="999999"/>
              <w:left w:val="single" w:sz="1" w:space="0" w:color="999999"/>
              <w:bottom w:val="single" w:sz="1" w:space="0" w:color="999999"/>
              <w:right w:val="single" w:sz="1" w:space="0" w:color="999999"/>
            </w:tcBorders>
            <w:shd w:val="clear" w:color="auto" w:fill="1F4E79"/>
          </w:tcPr>
          <w:p w14:paraId="2A4CE76F" w14:textId="77777777" w:rsidR="005C0B24" w:rsidRDefault="005C0B24">
            <w:r/>
          </w:p>
        </w:tc>
        <w:tc>
          <w:tcPr>
            <w:tcW w:w="1400" w:type="dxa"/>
            <w:tcBorders>
              <w:top w:val="single" w:sz="1" w:space="0" w:color="999999"/>
              <w:left w:val="single" w:sz="1" w:space="0" w:color="999999"/>
              <w:bottom w:val="single" w:sz="1" w:space="0" w:color="999999"/>
              <w:right w:val="single" w:sz="1" w:space="0" w:color="999999"/>
            </w:tcBorders>
            <w:shd w:val="clear" w:color="auto" w:fill="1F4E79"/>
          </w:tcPr>
          <w:p w14:paraId="63576942" w14:textId="77777777" w:rsidR="005C0B24" w:rsidRDefault="00000000">
            <w:pPr>
              <w:jc w:val="center"/>
            </w:pPr>
            <w:r>
              <w:rPr>
                <w:b/>
                <w:bCs/>
                <w:color w:val="FFFFFF"/>
                <w:sz w:val="20"/>
                <w:szCs w:val="20"/>
              </w:rPr>
              <w:t>100%</w:t>
            </w:r>
          </w:p>
        </w:tc>
        <w:tc>
          <w:tcPr>
            <w:tcW w:w="2660" w:type="dxa"/>
            <w:tcBorders>
              <w:top w:val="single" w:sz="1" w:space="0" w:color="999999"/>
              <w:left w:val="single" w:sz="1" w:space="0" w:color="999999"/>
              <w:bottom w:val="single" w:sz="1" w:space="0" w:color="999999"/>
              <w:right w:val="single" w:sz="1" w:space="0" w:color="999999"/>
            </w:tcBorders>
            <w:shd w:val="clear" w:color="auto" w:fill="1F4E79"/>
          </w:tcPr>
          <w:p w14:paraId="2B6E044F" w14:textId="77777777" w:rsidR="005C0B24" w:rsidRDefault="005C0B24">
            <w:r/>
          </w:p>
        </w:tc>
      </w:tr>
    </w:tbl>
    <w:p w14:paraId="6B71D518" w14:textId="77777777" w:rsidR="005C0B24" w:rsidRDefault="005C0B24"/>
    <w:p w14:paraId="0908FC53" w14:textId="77777777" w:rsidR="005C0B24" w:rsidRDefault="00000000">
      <w:pPr>
        <w:pStyle w:val="Heading1"/>
      </w:pPr>
      <w:r>
        <w:t>5. Grading Scale</w:t>
      </w:r>
    </w:p>
    <w:p w14:paraId="38C4A058" w14:textId="77777777" w:rsidR="005C0B24" w:rsidRDefault="00000000">
      <w:pPr>
        <w:spacing w:before="80" w:after="80"/>
      </w:pPr>
      <w:r>
        <w:t>This course uses the American University grading scale:</w:t>
      </w:r>
    </w:p>
    <w:p w14:paraId="6A481F8A" w14:textId="77777777" w:rsidR="005C0B24" w:rsidRDefault="005C0B24"/>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48"/>
        <w:gridCol w:w="2275"/>
        <w:gridCol w:w="4501"/>
      </w:tblGrid>
      <w:tr w:rsidR="005C0B24" w14:paraId="6B5D7824" w14:textId="77777777">
        <w:tblPrEx>
          <w:tblCellMar>
            <w:top w:w="0" w:type="dxa"/>
            <w:bottom w:w="0" w:type="dxa"/>
          </w:tblCellMar>
        </w:tblPrEx>
        <w:trPr>
          <w:tblHeader w:val="true"/>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1F4E79"/>
          </w:tcPr>
          <w:p w14:paraId="6BEEED96" w14:textId="77777777" w:rsidR="005C0B24" w:rsidRDefault="00000000">
            <w:pPr>
              <w:jc w:val="center"/>
            </w:pPr>
            <w:r>
              <w:rPr>
                <w:b/>
                <w:bCs/>
                <w:color w:val="FFFFFF"/>
                <w:sz w:val="20"/>
                <w:szCs w:val="20"/>
              </w:rPr>
              <w:t>Letter Grade</w:t>
            </w:r>
          </w:p>
        </w:tc>
        <w:tc>
          <w:tcPr>
            <w:tcW w:w="2340" w:type="dxa"/>
            <w:tcBorders>
              <w:top w:val="single" w:sz="1" w:space="0" w:color="999999"/>
              <w:left w:val="single" w:sz="1" w:space="0" w:color="999999"/>
              <w:bottom w:val="single" w:sz="1" w:space="0" w:color="999999"/>
              <w:right w:val="single" w:sz="1" w:space="0" w:color="999999"/>
            </w:tcBorders>
            <w:shd w:val="clear" w:color="auto" w:fill="1F4E79"/>
          </w:tcPr>
          <w:p w14:paraId="481D8861" w14:textId="77777777" w:rsidR="005C0B24" w:rsidRDefault="00000000">
            <w:pPr>
              <w:jc w:val="center"/>
            </w:pPr>
            <w:r>
              <w:rPr>
                <w:b/>
                <w:bCs/>
                <w:color w:val="FFFFFF"/>
                <w:sz w:val="20"/>
                <w:szCs w:val="20"/>
              </w:rPr>
              <w:t>Percentage</w:t>
            </w:r>
          </w:p>
        </w:tc>
        <w:tc>
          <w:tcPr>
            <w:tcW w:w="4680" w:type="dxa"/>
            <w:tcBorders>
              <w:top w:val="single" w:sz="1" w:space="0" w:color="999999"/>
              <w:left w:val="single" w:sz="1" w:space="0" w:color="999999"/>
              <w:bottom w:val="single" w:sz="1" w:space="0" w:color="999999"/>
              <w:right w:val="single" w:sz="1" w:space="0" w:color="999999"/>
            </w:tcBorders>
            <w:shd w:val="clear" w:color="auto" w:fill="1F4E79"/>
          </w:tcPr>
          <w:p w14:paraId="3005D8DE" w14:textId="77777777" w:rsidR="005C0B24" w:rsidRDefault="00000000">
            <w:pPr>
              <w:jc w:val="center"/>
            </w:pPr>
            <w:r>
              <w:rPr>
                <w:b/>
                <w:bCs/>
                <w:color w:val="FFFFFF"/>
                <w:sz w:val="20"/>
                <w:szCs w:val="20"/>
              </w:rPr>
              <w:t>Description</w:t>
            </w:r>
          </w:p>
        </w:tc>
      </w:tr>
      <w:tr w:rsidR="005C0B24" w14:paraId="273D0725"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7BD6DF75" w14:textId="77777777" w:rsidR="005C0B24" w:rsidRDefault="00000000">
            <w:pPr>
              <w:jc w:val="center"/>
            </w:pPr>
            <w:r>
              <w:rPr>
                <w:sz w:val="20"/>
                <w:szCs w:val="20"/>
              </w:rPr>
              <w:t>A</w:t>
            </w:r>
          </w:p>
        </w:tc>
        <w:tc>
          <w:tcPr>
            <w:tcW w:w="2340" w:type="dxa"/>
            <w:tcBorders>
              <w:top w:val="single" w:sz="1" w:space="0" w:color="999999"/>
              <w:left w:val="single" w:sz="1" w:space="0" w:color="999999"/>
              <w:bottom w:val="single" w:sz="1" w:space="0" w:color="999999"/>
              <w:right w:val="single" w:sz="1" w:space="0" w:color="999999"/>
            </w:tcBorders>
          </w:tcPr>
          <w:p w14:paraId="7D47785F" w14:textId="77777777" w:rsidR="005C0B24" w:rsidRDefault="00000000">
            <w:pPr>
              <w:jc w:val="center"/>
            </w:pPr>
            <w:r>
              <w:rPr>
                <w:sz w:val="20"/>
                <w:szCs w:val="20"/>
              </w:rPr>
              <w:t>93-100%</w:t>
            </w:r>
          </w:p>
        </w:tc>
        <w:tc>
          <w:tcPr>
            <w:tcW w:w="4680" w:type="dxa"/>
            <w:tcBorders>
              <w:top w:val="single" w:sz="1" w:space="0" w:color="999999"/>
              <w:left w:val="single" w:sz="1" w:space="0" w:color="999999"/>
              <w:bottom w:val="single" w:sz="1" w:space="0" w:color="999999"/>
              <w:right w:val="single" w:sz="1" w:space="0" w:color="999999"/>
            </w:tcBorders>
          </w:tcPr>
          <w:p w14:paraId="39E1D1DE" w14:textId="77777777" w:rsidR="005C0B24" w:rsidRDefault="00000000">
            <w:r>
              <w:rPr>
                <w:sz w:val="20"/>
                <w:szCs w:val="20"/>
              </w:rPr>
              <w:t>Excellent; exceptional achievement</w:t>
            </w:r>
          </w:p>
        </w:tc>
      </w:tr>
      <w:tr w:rsidR="005C0B24" w14:paraId="1E7C0F38"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6B47D395" w14:textId="77777777" w:rsidR="005C0B24" w:rsidRDefault="00000000">
            <w:pPr>
              <w:jc w:val="center"/>
            </w:pPr>
            <w:r>
              <w:rPr>
                <w:sz w:val="20"/>
                <w:szCs w:val="20"/>
              </w:rPr>
              <w:t>A-</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3D8CDD5C" w14:textId="77777777" w:rsidR="005C0B24" w:rsidRDefault="00000000">
            <w:pPr>
              <w:jc w:val="center"/>
            </w:pPr>
            <w:r>
              <w:rPr>
                <w:sz w:val="20"/>
                <w:szCs w:val="20"/>
              </w:rPr>
              <w:t>90-92%</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6014F15B" w14:textId="77777777" w:rsidR="005C0B24" w:rsidRDefault="00000000">
            <w:r>
              <w:rPr>
                <w:sz w:val="20"/>
                <w:szCs w:val="20"/>
              </w:rPr>
              <w:t>Excellent work with minor areas for improvement</w:t>
            </w:r>
          </w:p>
        </w:tc>
      </w:tr>
      <w:tr w:rsidR="005C0B24" w14:paraId="01EFA8AD"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1860A50C" w14:textId="77777777" w:rsidR="005C0B24" w:rsidRDefault="00000000">
            <w:pPr>
              <w:jc w:val="center"/>
            </w:pPr>
            <w:r>
              <w:rPr>
                <w:sz w:val="20"/>
                <w:szCs w:val="20"/>
              </w:rPr>
              <w:t>B+</w:t>
            </w:r>
          </w:p>
        </w:tc>
        <w:tc>
          <w:tcPr>
            <w:tcW w:w="2340" w:type="dxa"/>
            <w:tcBorders>
              <w:top w:val="single" w:sz="1" w:space="0" w:color="999999"/>
              <w:left w:val="single" w:sz="1" w:space="0" w:color="999999"/>
              <w:bottom w:val="single" w:sz="1" w:space="0" w:color="999999"/>
              <w:right w:val="single" w:sz="1" w:space="0" w:color="999999"/>
            </w:tcBorders>
          </w:tcPr>
          <w:p w14:paraId="4EA87EB2" w14:textId="77777777" w:rsidR="005C0B24" w:rsidRDefault="00000000">
            <w:pPr>
              <w:jc w:val="center"/>
            </w:pPr>
            <w:r>
              <w:rPr>
                <w:sz w:val="20"/>
                <w:szCs w:val="20"/>
              </w:rPr>
              <w:t>87-89%</w:t>
            </w:r>
          </w:p>
        </w:tc>
        <w:tc>
          <w:tcPr>
            <w:tcW w:w="4680" w:type="dxa"/>
            <w:tcBorders>
              <w:top w:val="single" w:sz="1" w:space="0" w:color="999999"/>
              <w:left w:val="single" w:sz="1" w:space="0" w:color="999999"/>
              <w:bottom w:val="single" w:sz="1" w:space="0" w:color="999999"/>
              <w:right w:val="single" w:sz="1" w:space="0" w:color="999999"/>
            </w:tcBorders>
          </w:tcPr>
          <w:p w14:paraId="31115B7D" w14:textId="77777777" w:rsidR="005C0B24" w:rsidRDefault="00000000">
            <w:r>
              <w:rPr>
                <w:sz w:val="20"/>
                <w:szCs w:val="20"/>
              </w:rPr>
              <w:t>Very good; above average performance</w:t>
            </w:r>
          </w:p>
        </w:tc>
      </w:tr>
      <w:tr w:rsidR="005C0B24" w14:paraId="5293422A"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6226954A" w14:textId="77777777" w:rsidR="005C0B24" w:rsidRDefault="00000000">
            <w:pPr>
              <w:jc w:val="center"/>
            </w:pPr>
            <w:r>
              <w:rPr>
                <w:sz w:val="20"/>
                <w:szCs w:val="20"/>
              </w:rPr>
              <w:t>B</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7D3A2AAC" w14:textId="77777777" w:rsidR="005C0B24" w:rsidRDefault="00000000">
            <w:pPr>
              <w:jc w:val="center"/>
            </w:pPr>
            <w:r>
              <w:rPr>
                <w:sz w:val="20"/>
                <w:szCs w:val="20"/>
              </w:rPr>
              <w:t>83-86%</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3B8403D1" w14:textId="77777777" w:rsidR="005C0B24" w:rsidRDefault="00000000">
            <w:r>
              <w:rPr>
                <w:sz w:val="20"/>
                <w:szCs w:val="20"/>
              </w:rPr>
              <w:t>Good; solid understanding demonstrated</w:t>
            </w:r>
          </w:p>
        </w:tc>
      </w:tr>
      <w:tr w:rsidR="005C0B24" w14:paraId="2FE6D1A2"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765E2BE8" w14:textId="77777777" w:rsidR="005C0B24" w:rsidRDefault="00000000">
            <w:pPr>
              <w:jc w:val="center"/>
            </w:pPr>
            <w:r>
              <w:rPr>
                <w:sz w:val="20"/>
                <w:szCs w:val="20"/>
              </w:rPr>
              <w:t>B-</w:t>
            </w:r>
          </w:p>
        </w:tc>
        <w:tc>
          <w:tcPr>
            <w:tcW w:w="2340" w:type="dxa"/>
            <w:tcBorders>
              <w:top w:val="single" w:sz="1" w:space="0" w:color="999999"/>
              <w:left w:val="single" w:sz="1" w:space="0" w:color="999999"/>
              <w:bottom w:val="single" w:sz="1" w:space="0" w:color="999999"/>
              <w:right w:val="single" w:sz="1" w:space="0" w:color="999999"/>
            </w:tcBorders>
          </w:tcPr>
          <w:p w14:paraId="15C75DA4" w14:textId="77777777" w:rsidR="005C0B24" w:rsidRDefault="00000000">
            <w:pPr>
              <w:jc w:val="center"/>
            </w:pPr>
            <w:r>
              <w:rPr>
                <w:sz w:val="20"/>
                <w:szCs w:val="20"/>
              </w:rPr>
              <w:t>80-82%</w:t>
            </w:r>
          </w:p>
        </w:tc>
        <w:tc>
          <w:tcPr>
            <w:tcW w:w="4680" w:type="dxa"/>
            <w:tcBorders>
              <w:top w:val="single" w:sz="1" w:space="0" w:color="999999"/>
              <w:left w:val="single" w:sz="1" w:space="0" w:color="999999"/>
              <w:bottom w:val="single" w:sz="1" w:space="0" w:color="999999"/>
              <w:right w:val="single" w:sz="1" w:space="0" w:color="999999"/>
            </w:tcBorders>
          </w:tcPr>
          <w:p w14:paraId="1C6027E2" w14:textId="77777777" w:rsidR="005C0B24" w:rsidRDefault="00000000">
            <w:r>
              <w:rPr>
                <w:sz w:val="20"/>
                <w:szCs w:val="20"/>
              </w:rPr>
              <w:t>Good work with some areas for improvement</w:t>
            </w:r>
          </w:p>
        </w:tc>
      </w:tr>
      <w:tr w:rsidR="005C0B24" w14:paraId="14A0364B"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45050719" w14:textId="77777777" w:rsidR="005C0B24" w:rsidRDefault="00000000">
            <w:pPr>
              <w:jc w:val="center"/>
            </w:pPr>
            <w:r>
              <w:rPr>
                <w:sz w:val="20"/>
                <w:szCs w:val="20"/>
              </w:rPr>
              <w:t>C+</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6CEE1C5A" w14:textId="77777777" w:rsidR="005C0B24" w:rsidRDefault="00000000">
            <w:pPr>
              <w:jc w:val="center"/>
            </w:pPr>
            <w:r>
              <w:rPr>
                <w:sz w:val="20"/>
                <w:szCs w:val="20"/>
              </w:rPr>
              <w:t>77-79%</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05C29379" w14:textId="77777777" w:rsidR="005C0B24" w:rsidRDefault="00000000">
            <w:r>
              <w:rPr>
                <w:sz w:val="20"/>
                <w:szCs w:val="20"/>
              </w:rPr>
              <w:t>Satisfactory; meets basic requirements</w:t>
            </w:r>
          </w:p>
        </w:tc>
      </w:tr>
      <w:tr w:rsidR="005C0B24" w14:paraId="7D51520F"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614F8A99" w14:textId="77777777" w:rsidR="005C0B24" w:rsidRDefault="00000000">
            <w:pPr>
              <w:jc w:val="center"/>
            </w:pPr>
            <w:r>
              <w:rPr>
                <w:sz w:val="20"/>
                <w:szCs w:val="20"/>
              </w:rPr>
              <w:t>C</w:t>
            </w:r>
          </w:p>
        </w:tc>
        <w:tc>
          <w:tcPr>
            <w:tcW w:w="2340" w:type="dxa"/>
            <w:tcBorders>
              <w:top w:val="single" w:sz="1" w:space="0" w:color="999999"/>
              <w:left w:val="single" w:sz="1" w:space="0" w:color="999999"/>
              <w:bottom w:val="single" w:sz="1" w:space="0" w:color="999999"/>
              <w:right w:val="single" w:sz="1" w:space="0" w:color="999999"/>
            </w:tcBorders>
          </w:tcPr>
          <w:p w14:paraId="438507FE" w14:textId="77777777" w:rsidR="005C0B24" w:rsidRDefault="00000000">
            <w:pPr>
              <w:jc w:val="center"/>
            </w:pPr>
            <w:r>
              <w:rPr>
                <w:sz w:val="20"/>
                <w:szCs w:val="20"/>
              </w:rPr>
              <w:t>73-76%</w:t>
            </w:r>
          </w:p>
        </w:tc>
        <w:tc>
          <w:tcPr>
            <w:tcW w:w="4680" w:type="dxa"/>
            <w:tcBorders>
              <w:top w:val="single" w:sz="1" w:space="0" w:color="999999"/>
              <w:left w:val="single" w:sz="1" w:space="0" w:color="999999"/>
              <w:bottom w:val="single" w:sz="1" w:space="0" w:color="999999"/>
              <w:right w:val="single" w:sz="1" w:space="0" w:color="999999"/>
            </w:tcBorders>
          </w:tcPr>
          <w:p w14:paraId="61907124" w14:textId="77777777" w:rsidR="005C0B24" w:rsidRDefault="00000000">
            <w:r>
              <w:rPr>
                <w:sz w:val="20"/>
                <w:szCs w:val="20"/>
              </w:rPr>
              <w:t>Adequate; acceptable understanding</w:t>
            </w:r>
          </w:p>
        </w:tc>
      </w:tr>
      <w:tr w:rsidR="005C0B24" w14:paraId="3FA3D2D0"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33C5FD70" w14:textId="77777777" w:rsidR="005C0B24" w:rsidRDefault="00000000">
            <w:pPr>
              <w:jc w:val="center"/>
            </w:pPr>
            <w:r>
              <w:rPr>
                <w:sz w:val="20"/>
                <w:szCs w:val="20"/>
              </w:rPr>
              <w:t>C-</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4D98926B" w14:textId="77777777" w:rsidR="005C0B24" w:rsidRDefault="00000000">
            <w:pPr>
              <w:jc w:val="center"/>
            </w:pPr>
            <w:r>
              <w:rPr>
                <w:sz w:val="20"/>
                <w:szCs w:val="20"/>
              </w:rPr>
              <w:t>70-72%</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7135FFD0" w14:textId="77777777" w:rsidR="005C0B24" w:rsidRDefault="00000000">
            <w:r>
              <w:rPr>
                <w:sz w:val="20"/>
                <w:szCs w:val="20"/>
              </w:rPr>
              <w:t>Passing but below average</w:t>
            </w:r>
          </w:p>
        </w:tc>
      </w:tr>
      <w:tr w:rsidR="005C0B24" w14:paraId="00FAB6D9"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0ADB3FF8" w14:textId="77777777" w:rsidR="005C0B24" w:rsidRDefault="00000000">
            <w:pPr>
              <w:jc w:val="center"/>
            </w:pPr>
            <w:r>
              <w:rPr>
                <w:sz w:val="20"/>
                <w:szCs w:val="20"/>
              </w:rPr>
              <w:t>D</w:t>
            </w:r>
          </w:p>
        </w:tc>
        <w:tc>
          <w:tcPr>
            <w:tcW w:w="2340" w:type="dxa"/>
            <w:tcBorders>
              <w:top w:val="single" w:sz="1" w:space="0" w:color="999999"/>
              <w:left w:val="single" w:sz="1" w:space="0" w:color="999999"/>
              <w:bottom w:val="single" w:sz="1" w:space="0" w:color="999999"/>
              <w:right w:val="single" w:sz="1" w:space="0" w:color="999999"/>
            </w:tcBorders>
          </w:tcPr>
          <w:p w14:paraId="1831CEBC" w14:textId="77777777" w:rsidR="005C0B24" w:rsidRDefault="00000000">
            <w:pPr>
              <w:jc w:val="center"/>
            </w:pPr>
            <w:r>
              <w:rPr>
                <w:sz w:val="20"/>
                <w:szCs w:val="20"/>
              </w:rPr>
              <w:t>60-69%</w:t>
            </w:r>
          </w:p>
        </w:tc>
        <w:tc>
          <w:tcPr>
            <w:tcW w:w="4680" w:type="dxa"/>
            <w:tcBorders>
              <w:top w:val="single" w:sz="1" w:space="0" w:color="999999"/>
              <w:left w:val="single" w:sz="1" w:space="0" w:color="999999"/>
              <w:bottom w:val="single" w:sz="1" w:space="0" w:color="999999"/>
              <w:right w:val="single" w:sz="1" w:space="0" w:color="999999"/>
            </w:tcBorders>
          </w:tcPr>
          <w:p w14:paraId="49D4BA45" w14:textId="77777777" w:rsidR="005C0B24" w:rsidRDefault="00000000">
            <w:r>
              <w:rPr>
                <w:sz w:val="20"/>
                <w:szCs w:val="20"/>
              </w:rPr>
              <w:t xml:space="preserve">Minimum </w:t>
            </w:r>
            <w:proofErr w:type="gramStart"/>
            <w:r>
              <w:rPr>
                <w:sz w:val="20"/>
                <w:szCs w:val="20"/>
              </w:rPr>
              <w:t>passing;</w:t>
            </w:r>
            <w:proofErr w:type="gramEnd"/>
            <w:r>
              <w:rPr>
                <w:sz w:val="20"/>
                <w:szCs w:val="20"/>
              </w:rPr>
              <w:t xml:space="preserve"> significant improvement needed</w:t>
            </w:r>
          </w:p>
        </w:tc>
      </w:tr>
      <w:tr w:rsidR="005C0B24" w14:paraId="390A8FE2"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2D4544C7" w14:textId="77777777" w:rsidR="005C0B24" w:rsidRDefault="00000000">
            <w:pPr>
              <w:jc w:val="center"/>
            </w:pPr>
            <w:r>
              <w:rPr>
                <w:sz w:val="20"/>
                <w:szCs w:val="20"/>
              </w:rPr>
              <w:t>F</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556C44A2" w14:textId="77777777" w:rsidR="005C0B24" w:rsidRDefault="00000000">
            <w:pPr>
              <w:jc w:val="center"/>
            </w:pPr>
            <w:r>
              <w:rPr>
                <w:sz w:val="20"/>
                <w:szCs w:val="20"/>
              </w:rPr>
              <w:t>Below 60%</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3591E4FD" w14:textId="77777777" w:rsidR="005C0B24" w:rsidRDefault="00000000">
            <w:r>
              <w:rPr>
                <w:sz w:val="20"/>
                <w:szCs w:val="20"/>
              </w:rPr>
              <w:t>Failing; does not meet course requirements</w:t>
            </w:r>
          </w:p>
        </w:tc>
      </w:tr>
    </w:tbl>
    <w:p w14:paraId="653EA000" w14:textId="77777777" w:rsidR="005C0B24" w:rsidRDefault="005C0B24"/>
    <w:p w14:paraId="2E8D041B" w14:textId="77777777" w:rsidR="005C0B24" w:rsidRDefault="00000000">
      <w:pPr>
        <w:pageBreakBefore w:val="0"/>
      </w:pPr>
      <w:r/>
    </w:p>
    <w:p w14:paraId="72E34D0F" w14:textId="77777777" w:rsidR="005C0B24" w:rsidRDefault="00000000">
      <w:pPr>
        <w:pStyle w:val="Heading1"/>
      </w:pPr>
      <w:r>
        <w:lastRenderedPageBreak/>
        <w:t>6. Course Schedule</w:t>
      </w:r>
    </w:p>
    <w:p w14:paraId="15101CB5" w14:textId="77777777" w:rsidR="005C0B24" w:rsidRDefault="00000000">
      <w:pPr>
        <w:pStyle w:val="Heading2"/>
      </w:pPr>
      <w:r>
        <w:t>Week 1: Corporate Finance, Value Creation, and Decision Governance</w:t>
      </w:r>
    </w:p>
    <w:p w14:paraId="262A00BB" w14:textId="77777777" w:rsidR="005C0B24" w:rsidRDefault="00000000">
      <w:pPr>
        <w:spacing w:before="80" w:after="60"/>
      </w:pPr>
      <w:r>
        <w:t>Topics: financial objectives; enterprise and equity value; price versus value; stakeholders and fiduciary responsibilities; value drivers; return on invested capital; growth; free cash flow; economic profit; decision rights; model governance</w:t>
      </w:r>
    </w:p>
    <w:p w14:paraId="346AC985" w14:textId="77777777" w:rsidR="005C0B24" w:rsidRDefault="00000000">
      <w:pPr>
        <w:spacing w:before="60" w:after="60"/>
      </w:pPr>
      <w:r>
        <w:t>Readings: Berk and DeMarzo, selected value-creation chapters; OpenStax, Chapters 1 and 5; Koller et al., selected value-foundations chapters</w:t>
      </w:r>
    </w:p>
    <w:p w14:paraId="7FC1C702" w14:textId="77777777" w:rsidR="005C0B24" w:rsidRDefault="00000000">
      <w:pPr>
        <w:spacing w:before="60" w:after="60"/>
      </w:pPr>
      <w:r>
        <w:t>Synchronous: value-driver tree, decision-rights, and governance laboratory</w:t>
      </w:r>
    </w:p>
    <w:p w14:paraId="47FC93CF" w14:textId="77777777" w:rsidR="005C0B24" w:rsidRDefault="00000000">
      <w:pPr>
        <w:spacing w:before="60" w:after="100"/>
      </w:pPr>
      <w:r>
        <w:t>Asynchronous: select an approved public company or business case and establish the evidence register</w:t>
      </w:r>
    </w:p>
    <w:p w14:paraId="3FBF3E3F" w14:textId="77777777" w:rsidR="005C0B24" w:rsidRDefault="00000000">
      <w:pPr>
        <w:pStyle w:val="Heading2"/>
      </w:pPr>
      <w:r>
        <w:t>Week 2: Financial-Statement Analysis and Normalization</w:t>
      </w:r>
    </w:p>
    <w:p w14:paraId="26C3CCC2" w14:textId="77777777" w:rsidR="005C0B24" w:rsidRDefault="00000000">
      <w:pPr>
        <w:spacing w:before="80" w:after="60"/>
      </w:pPr>
      <w:r>
        <w:t>Topics: income statement, balance sheet, and cash flow integration; operating versus financing items; non-recurring items; leases; pensions; stock compensation; tax; invested capital; return on invested capital; earnings quality</w:t>
      </w:r>
    </w:p>
    <w:p w14:paraId="4092E819" w14:textId="77777777" w:rsidR="005C0B24" w:rsidRDefault="00000000">
      <w:pPr>
        <w:spacing w:before="60" w:after="60"/>
      </w:pPr>
      <w:r>
        <w:t>Readings: OpenStax, selected financial-statement and ratio chapters; Koller et al., selected performance-analysis chapters</w:t>
      </w:r>
    </w:p>
    <w:p w14:paraId="5EDED4B5" w14:textId="77777777" w:rsidR="005C0B24" w:rsidRDefault="00000000">
      <w:pPr>
        <w:spacing w:before="60" w:after="60"/>
      </w:pPr>
      <w:r>
        <w:t>Synchronous: statement normalization and invested-capital reconstruction laboratory</w:t>
      </w:r>
    </w:p>
    <w:p w14:paraId="2593047D" w14:textId="77777777" w:rsidR="005C0B24" w:rsidRDefault="00000000">
      <w:pPr>
        <w:spacing w:before="60" w:after="100"/>
      </w:pPr>
      <w:r>
        <w:t>Asynchronous: prepare historical statements, ratios, adjustments, and data provenance</w:t>
      </w:r>
    </w:p>
    <w:p w14:paraId="141FF5FF" w14:textId="77777777" w:rsidR="005C0B24" w:rsidRDefault="00000000">
      <w:pPr>
        <w:pStyle w:val="Heading2"/>
      </w:pPr>
      <w:r>
        <w:t>Week 3: Forecasting Operations, Growth, and Free Cash Flow</w:t>
      </w:r>
    </w:p>
    <w:p w14:paraId="292CEF29" w14:textId="77777777" w:rsidR="005C0B24" w:rsidRDefault="00000000">
      <w:pPr>
        <w:spacing w:before="80" w:after="60"/>
      </w:pPr>
      <w:r>
        <w:t>Topics: revenue and margin drivers; working capital; capital expenditure; depreciation; tax; reinvestment; operating cases; integrated statements; free cash flow to firm and equity; forecast horizon; competitive advantage period</w:t>
      </w:r>
    </w:p>
    <w:p w14:paraId="3BDFC239" w14:textId="77777777" w:rsidR="005C0B24" w:rsidRDefault="00000000">
      <w:pPr>
        <w:spacing w:before="60" w:after="60"/>
      </w:pPr>
      <w:r>
        <w:t>Readings: Berk and DeMarzo, forecasting and cash-flow selections; OpenStax, Chapters 11-12; Damodaran valuation resources</w:t>
      </w:r>
    </w:p>
    <w:p w14:paraId="122AE5BE" w14:textId="77777777" w:rsidR="005C0B24" w:rsidRDefault="00000000">
      <w:pPr>
        <w:spacing w:before="60" w:after="60"/>
      </w:pPr>
      <w:r>
        <w:t>Synchronous: integrated forecast, cash-flow bridge, and assumption-control laboratory</w:t>
      </w:r>
    </w:p>
    <w:p w14:paraId="12BC661E" w14:textId="77777777" w:rsidR="005C0B24" w:rsidRDefault="00000000">
      <w:pPr>
        <w:spacing w:before="60" w:after="100"/>
      </w:pPr>
      <w:r>
        <w:t>Asynchronous: build base-case operating forecast and document source-to-assumption links</w:t>
      </w:r>
    </w:p>
    <w:p w14:paraId="60A65A4C" w14:textId="77777777" w:rsidR="005C0B24" w:rsidRDefault="00000000">
      <w:pPr>
        <w:pStyle w:val="Heading2"/>
      </w:pPr>
      <w:r>
        <w:t>Week 4: Cost of Capital, Risk, and Model Architecture</w:t>
      </w:r>
    </w:p>
    <w:p w14:paraId="68E307CC" w14:textId="77777777" w:rsidR="005C0B24" w:rsidRDefault="00000000">
      <w:pPr>
        <w:spacing w:before="80" w:after="60"/>
      </w:pPr>
      <w:r>
        <w:t>Topics: risk-free rate; equity risk premium; beta; cost of debt; tax shields; capital structure; weighted average cost of capital; country and currency consistency; nominal and real cash flows; model checks; sensitivity and circularity</w:t>
      </w:r>
    </w:p>
    <w:p w14:paraId="68AF166B" w14:textId="77777777" w:rsidR="005C0B24" w:rsidRDefault="00000000">
      <w:pPr>
        <w:spacing w:before="60" w:after="60"/>
      </w:pPr>
      <w:r>
        <w:t>Readings: Berk and DeMarzo, cost-of-capital selections; OpenStax, Chapters 15 and 17; Damodaran data and spreadsheet resources</w:t>
      </w:r>
    </w:p>
    <w:p w14:paraId="1FFBE3A2" w14:textId="77777777" w:rsidR="005C0B24" w:rsidRDefault="00000000">
      <w:pPr>
        <w:spacing w:before="60" w:after="60"/>
      </w:pPr>
      <w:r>
        <w:t>Synchronous: cost-of-capital estimation, currency-consistency, and model-audit challenge</w:t>
      </w:r>
    </w:p>
    <w:p w14:paraId="1D5892BF" w14:textId="77777777" w:rsidR="005C0B24" w:rsidRDefault="00000000">
      <w:pPr>
        <w:spacing w:before="60" w:after="60"/>
      </w:pPr>
      <w:r>
        <w:t>Asynchronous: complete Forecasting and Cost-of-Capital Model</w:t>
      </w:r>
    </w:p>
    <w:p w14:paraId="6A027B82" w14:textId="77777777" w:rsidR="005C0B24" w:rsidRDefault="00000000">
      <w:pPr>
        <w:spacing w:before="60" w:after="100"/>
      </w:pPr>
      <w:r>
        <w:t>Assessment Due: Forecasting &amp; Cost-of-Capital Model (15%)</w:t>
      </w:r>
    </w:p>
    <w:p w14:paraId="7C49070F" w14:textId="77777777" w:rsidR="005C0B24" w:rsidRDefault="00000000">
      <w:pPr>
        <w:pStyle w:val="Heading2"/>
      </w:pPr>
      <w:r>
        <w:t>Week 5: Capital Budgeting and Strategic Investment</w:t>
      </w:r>
    </w:p>
    <w:p w14:paraId="18A0CCAD" w14:textId="77777777" w:rsidR="005C0B24" w:rsidRDefault="00000000">
      <w:pPr>
        <w:spacing w:before="80" w:after="60"/>
      </w:pPr>
      <w:r>
        <w:t>Topics: incremental cash flow; sunk and opportunity costs; cannibalization; net present value; internal rate of return; profitability index; equivalent annual cost; capital rationing; tax; inflation; replacement and expansion decisions</w:t>
      </w:r>
    </w:p>
    <w:p w14:paraId="6BD8D6FF" w14:textId="77777777" w:rsidR="005C0B24" w:rsidRDefault="00000000">
      <w:pPr>
        <w:spacing w:before="60" w:after="60"/>
      </w:pPr>
      <w:r>
        <w:t>Readings: Berk and DeMarzo, capital-budgeting chapters; OpenStax, Chapters 10-13</w:t>
      </w:r>
    </w:p>
    <w:p w14:paraId="78BCDFC8" w14:textId="77777777" w:rsidR="005C0B24" w:rsidRDefault="00000000">
      <w:pPr>
        <w:spacing w:before="60" w:after="60"/>
      </w:pPr>
      <w:r>
        <w:t>Synchronous: capital-investment committee simulation and project-choice laboratory</w:t>
      </w:r>
    </w:p>
    <w:p w14:paraId="00E1F246" w14:textId="77777777" w:rsidR="005C0B24" w:rsidRDefault="00000000">
      <w:pPr>
        <w:spacing w:before="60" w:after="100"/>
      </w:pPr>
      <w:r>
        <w:t>Asynchronous: evaluate mutually exclusive investments and diagnose method conflicts</w:t>
      </w:r>
    </w:p>
    <w:p w14:paraId="77180938" w14:textId="77777777" w:rsidR="005C0B24" w:rsidRDefault="00000000">
      <w:pPr>
        <w:pStyle w:val="Heading2"/>
      </w:pPr>
      <w:r>
        <w:t>Week 6: Financing, Capital Structure, Payout, and Liquidity</w:t>
      </w:r>
    </w:p>
    <w:p w14:paraId="7026A679" w14:textId="77777777" w:rsidR="005C0B24" w:rsidRDefault="00000000">
      <w:pPr>
        <w:spacing w:before="80" w:after="60"/>
      </w:pPr>
      <w:r>
        <w:t>Topics: debt capacity; financial flexibility; trade-off and pecking-order perspectives; agency costs; covenants; credit metrics; refinancing; dividends and repurchases; working capital; liquidity; adjusted present value; financing side effects</w:t>
      </w:r>
    </w:p>
    <w:p w14:paraId="15CD6260" w14:textId="77777777" w:rsidR="005C0B24" w:rsidRDefault="00000000">
      <w:pPr>
        <w:spacing w:before="60" w:after="60"/>
      </w:pPr>
      <w:r>
        <w:t>Readings: Berk and DeMarzo, capital-structure and payout selections; OpenStax, Chapters 16-19</w:t>
      </w:r>
    </w:p>
    <w:p w14:paraId="0343BE71" w14:textId="77777777" w:rsidR="005C0B24" w:rsidRDefault="00000000">
      <w:pPr>
        <w:spacing w:before="60" w:after="60"/>
      </w:pPr>
      <w:r>
        <w:t>Synchronous: financing-policy, debt-capacity, payout, and liquidity board case</w:t>
      </w:r>
    </w:p>
    <w:p w14:paraId="58EDA60D" w14:textId="77777777" w:rsidR="005C0B24" w:rsidRDefault="00000000">
      <w:pPr>
        <w:spacing w:before="60" w:after="100"/>
      </w:pPr>
      <w:r>
        <w:t>Asynchronous: prepare for the midterm through an integrated capital-allocation case</w:t>
      </w:r>
    </w:p>
    <w:p w14:paraId="300838FC" w14:textId="77777777" w:rsidR="005C0B24" w:rsidRDefault="00000000">
      <w:pPr>
        <w:pStyle w:val="Heading2"/>
      </w:pPr>
      <w:r>
        <w:t>Week 7: Midterm Examination and Corporate-Finance Integration</w:t>
      </w:r>
    </w:p>
    <w:p w14:paraId="467EFA7B" w14:textId="77777777" w:rsidR="005C0B24" w:rsidRDefault="00000000">
      <w:pPr>
        <w:spacing w:before="80" w:after="60"/>
      </w:pPr>
      <w:r>
        <w:t>Topics: financial analysis; value drivers; forecast architecture; free cash flow; cost of capital; capital budgeting; financing; payout; liquidity; model controls; professional judgment</w:t>
      </w:r>
    </w:p>
    <w:p w14:paraId="105C1FD9" w14:textId="77777777" w:rsidR="005C0B24" w:rsidRDefault="00000000">
      <w:pPr>
        <w:spacing w:before="60" w:after="60"/>
      </w:pPr>
      <w:r>
        <w:t>Readings: Review Weeks 1-6 resources</w:t>
      </w:r>
    </w:p>
    <w:p w14:paraId="393E6F2C" w14:textId="77777777" w:rsidR="005C0B24" w:rsidRDefault="00000000">
      <w:pPr>
        <w:spacing w:before="60" w:after="60"/>
      </w:pPr>
      <w:r>
        <w:t>Synchronous: individual midterm examination; generative AI is not permitted unless expressly authorized</w:t>
      </w:r>
    </w:p>
    <w:p w14:paraId="2B3BAC53" w14:textId="77777777" w:rsidR="005C0B24" w:rsidRDefault="00000000">
      <w:pPr>
        <w:spacing w:before="60" w:after="60"/>
      </w:pPr>
      <w:r>
        <w:t>Asynchronous: post-examination correction and professional-learning plan</w:t>
      </w:r>
    </w:p>
    <w:p w14:paraId="2B4EAE9E" w14:textId="77777777" w:rsidR="005C0B24" w:rsidRDefault="00000000">
      <w:pPr>
        <w:spacing w:before="60" w:after="100"/>
      </w:pPr>
      <w:r>
        <w:t>Assessment Due: Midterm Examination (20%)</w:t>
      </w:r>
    </w:p>
    <w:p w14:paraId="048D9B4D" w14:textId="77777777" w:rsidR="005C0B24" w:rsidRDefault="00000000">
      <w:pPr>
        <w:pStyle w:val="Heading2"/>
      </w:pPr>
      <w:r>
        <w:t>Week 8: Discounted-Cash-Flow Valuation and Terminal Value</w:t>
      </w:r>
    </w:p>
    <w:p w14:paraId="478B796B" w14:textId="77777777" w:rsidR="005C0B24" w:rsidRDefault="00000000">
      <w:pPr>
        <w:spacing w:before="80" w:after="60"/>
      </w:pPr>
      <w:r>
        <w:t>Topics: enterprise DCF; equity DCF; adjusted present value; continuing value; perpetual growth and value-driver formulas; fade periods; non-operating assets; debt-like claims; dilution; equity bridge; valuation date and currency</w:t>
      </w:r>
    </w:p>
    <w:p w14:paraId="4CBDCA4C" w14:textId="77777777" w:rsidR="005C0B24" w:rsidRDefault="00000000">
      <w:pPr>
        <w:spacing w:before="60" w:after="60"/>
      </w:pPr>
      <w:r>
        <w:t>Readings: Koller et al., selected DCF and continuing-value chapters; Damodaran valuation materials; OpenStax, selected valuation chapters</w:t>
      </w:r>
    </w:p>
    <w:p w14:paraId="2806A9F1" w14:textId="77777777" w:rsidR="005C0B24" w:rsidRDefault="00000000">
      <w:pPr>
        <w:spacing w:before="60" w:after="60"/>
      </w:pPr>
      <w:r>
        <w:t>Synchronous: DCF build, terminal-value challenge, and enterprise-to-equity bridge laboratory</w:t>
      </w:r>
    </w:p>
    <w:p w14:paraId="22B23E58" w14:textId="77777777" w:rsidR="005C0B24" w:rsidRDefault="00000000">
      <w:pPr>
        <w:spacing w:before="60" w:after="100"/>
      </w:pPr>
      <w:r>
        <w:t>Asynchronous: complete base-case enterprise and equity valuation with model checks</w:t>
      </w:r>
    </w:p>
    <w:p w14:paraId="2B0E8DDC" w14:textId="77777777" w:rsidR="005C0B24" w:rsidRDefault="00000000">
      <w:pPr>
        <w:pStyle w:val="Heading2"/>
      </w:pPr>
      <w:r>
        <w:t>Week 9: Relative Valuation, Transactions, and Complex Businesses</w:t>
      </w:r>
    </w:p>
    <w:p w14:paraId="68650D3B" w14:textId="77777777" w:rsidR="005C0B24" w:rsidRDefault="00000000">
      <w:pPr>
        <w:spacing w:before="80" w:after="60"/>
      </w:pPr>
      <w:r>
        <w:t>Topics: peer selection; enterprise and equity multiples; normalization; growth and profitability controls; precedent transactions; control premiums; asset-based valuation; sum of the parts; private-company, high-growth, cyclical, financial, and multinational considerations</w:t>
      </w:r>
    </w:p>
    <w:p w14:paraId="07B9883F" w14:textId="77777777" w:rsidR="005C0B24" w:rsidRDefault="00000000">
      <w:pPr>
        <w:spacing w:before="60" w:after="60"/>
      </w:pPr>
      <w:r>
        <w:t>Readings: Berk and DeMarzo, multiples and transactions selections; Koller et al., selected advanced valuation chapters; Damodaran multiples datasets</w:t>
      </w:r>
    </w:p>
    <w:p w14:paraId="73AC9D5E" w14:textId="77777777" w:rsidR="005C0B24" w:rsidRDefault="00000000">
      <w:pPr>
        <w:spacing w:before="60" w:after="60"/>
      </w:pPr>
      <w:r>
        <w:t>Synchronous: peer-screening, multiple-driver, transaction, and sum-of-the-parts laboratory</w:t>
      </w:r>
    </w:p>
    <w:p w14:paraId="401E201A" w14:textId="77777777" w:rsidR="005C0B24" w:rsidRDefault="00000000">
      <w:pPr>
        <w:spacing w:before="60" w:after="100"/>
      </w:pPr>
      <w:r>
        <w:t>Asynchronous: construct comparable-company analysis and reconcile it with DCF</w:t>
      </w:r>
    </w:p>
    <w:p w14:paraId="5EC25026" w14:textId="77777777" w:rsidR="005C0B24" w:rsidRDefault="00000000">
      <w:pPr>
        <w:pStyle w:val="Heading2"/>
      </w:pPr>
      <w:r>
        <w:t>Week 10: Material Sustainability Factors in Corporate Valuation</w:t>
      </w:r>
    </w:p>
    <w:p w14:paraId="5F899F50" w14:textId="77777777" w:rsidR="005C0B24" w:rsidRDefault="00000000">
      <w:pPr>
        <w:spacing w:before="80" w:after="60"/>
      </w:pPr>
      <w:r>
        <w:t>Topics: financial materiality; climate transition and physical risk; nature and resource dependencies; workforce and human-capital factors; carbon prices; regulation; stranded assets; adaptation and transition capital expenditure; revenue shifts; financing effects; terminal-value and scenario implications; double counting and unsupported ESG adjustments</w:t>
      </w:r>
    </w:p>
    <w:p w14:paraId="3DB1B447" w14:textId="77777777" w:rsidR="005C0B24" w:rsidRDefault="00000000">
      <w:pPr>
        <w:spacing w:before="60" w:after="60"/>
      </w:pPr>
      <w:r>
        <w:t>Readings: IFRS S1 and S2 knowledge-hub materials; GHG Protocol guidance; EU Taxonomy resources; selected climate-finance research</w:t>
      </w:r>
    </w:p>
    <w:p w14:paraId="655DD711" w14:textId="77777777" w:rsidR="005C0B24" w:rsidRDefault="00000000">
      <w:pPr>
        <w:spacing w:before="60" w:after="60"/>
      </w:pPr>
      <w:r>
        <w:t>Synchronous: sustainability-to-financial-driver mapping, scenario, financing, and board-decision laboratory</w:t>
      </w:r>
    </w:p>
    <w:p w14:paraId="5C1087C2" w14:textId="77777777" w:rsidR="005C0B24" w:rsidRDefault="00000000">
      <w:pPr>
        <w:spacing w:before="60" w:after="60"/>
      </w:pPr>
      <w:r>
        <w:t>Asynchronous: submit Board Capital-Allocation and Financing Memo</w:t>
      </w:r>
    </w:p>
    <w:p w14:paraId="0134FC7D" w14:textId="77777777" w:rsidR="005C0B24" w:rsidRDefault="00000000">
      <w:pPr>
        <w:spacing w:before="60" w:after="100"/>
      </w:pPr>
      <w:r>
        <w:t>Assessment Due: Board Capital-Allocation &amp; Financing Memo (15%)</w:t>
      </w:r>
    </w:p>
    <w:p w14:paraId="68C7072C" w14:textId="77777777" w:rsidR="005C0B24" w:rsidRDefault="00000000">
      <w:pPr>
        <w:pStyle w:val="Heading2"/>
      </w:pPr>
      <w:r>
        <w:t>Week 11: Mergers, Acquisitions, Divestitures, and Real Options</w:t>
      </w:r>
    </w:p>
    <w:p w14:paraId="366B12EE" w14:textId="77777777" w:rsidR="005C0B24" w:rsidRDefault="00000000">
      <w:pPr>
        <w:spacing w:before="80" w:after="60"/>
      </w:pPr>
      <w:r>
        <w:t>Topics: stand-alone value; synergies; control; acquisition premium; accretion and dilution limits; transaction financing; integration risk; divestitures; restructuring; abandonment, expansion, timing, and staging options; post-investment review</w:t>
      </w:r>
    </w:p>
    <w:p w14:paraId="44C201A3" w14:textId="77777777" w:rsidR="005C0B24" w:rsidRDefault="00000000">
      <w:pPr>
        <w:spacing w:before="60" w:after="60"/>
      </w:pPr>
      <w:r>
        <w:t>Readings: Berk and DeMarzo, M&amp;A and options selections; Koller et al., portfolio-strategy and acquisition selections</w:t>
      </w:r>
    </w:p>
    <w:p w14:paraId="61C5A780" w14:textId="77777777" w:rsidR="005C0B24" w:rsidRDefault="00000000">
      <w:pPr>
        <w:spacing w:before="60" w:after="60"/>
      </w:pPr>
      <w:r>
        <w:t>Synchronous: acquisition, divestiture, synergy, and real-options investment-committee case</w:t>
      </w:r>
    </w:p>
    <w:p w14:paraId="76B7B8CE" w14:textId="77777777" w:rsidR="005C0B24" w:rsidRDefault="00000000">
      <w:pPr>
        <w:spacing w:before="60" w:after="100"/>
      </w:pPr>
      <w:r>
        <w:t>Asynchronous: evaluate a strategic transaction or staged investment with explicit downside controls</w:t>
      </w:r>
    </w:p>
    <w:p w14:paraId="0139B8D7" w14:textId="77777777" w:rsidR="005C0B24" w:rsidRDefault="00000000">
      <w:pPr>
        <w:pStyle w:val="Heading2"/>
      </w:pPr>
      <w:r>
        <w:t>Week 12: Scenarios, Sensitivities, Reverse Valuation, and Decision Controls</w:t>
      </w:r>
    </w:p>
    <w:p w14:paraId="1E74C947" w14:textId="77777777" w:rsidR="005C0B24" w:rsidRDefault="00000000">
      <w:pPr>
        <w:spacing w:before="80" w:after="60"/>
      </w:pPr>
      <w:r>
        <w:t>Topics: scenario construction; sensitivity tables; Monte Carlo concepts; reverse DCF; break-even analysis; model risk; valuation range; confidence and uncertainty; bias; independent review; documentation; governance; implementation roadmap</w:t>
      </w:r>
    </w:p>
    <w:p w14:paraId="015A72FA" w14:textId="77777777" w:rsidR="005C0B24" w:rsidRDefault="00000000">
      <w:pPr>
        <w:spacing w:before="60" w:after="60"/>
      </w:pPr>
      <w:r>
        <w:t>Readings: Koller et al., selected uncertainty and communication chapters; Damodaran scenario and spreadsheet resources; selected model-risk guidance</w:t>
      </w:r>
    </w:p>
    <w:p w14:paraId="05F9990F" w14:textId="77777777" w:rsidR="005C0B24" w:rsidRDefault="00000000">
      <w:pPr>
        <w:spacing w:before="60" w:after="60"/>
      </w:pPr>
      <w:r>
        <w:t>Synchronous: valuation challenge, reverse-DCF, red-team, and model-governance review</w:t>
      </w:r>
    </w:p>
    <w:p w14:paraId="53718112" w14:textId="77777777" w:rsidR="005C0B24" w:rsidRDefault="00000000">
      <w:pPr>
        <w:spacing w:before="60" w:after="60"/>
      </w:pPr>
      <w:r>
        <w:t>Asynchronous: complete valuation range, risk register, decision triggers, and value-creation roadmap</w:t>
      </w:r>
    </w:p>
    <w:p w14:paraId="4471681A" w14:textId="77777777" w:rsidR="005C0B24" w:rsidRDefault="00000000">
      <w:pPr>
        <w:spacing w:before="60" w:after="100"/>
      </w:pPr>
      <w:r>
        <w:t>Project Milestone Due: Approved forecast, valuation methods, sustainability-driver scenarios, capital-allocation thesis, and model-control record</w:t>
      </w:r>
    </w:p>
    <w:p w14:paraId="68C7072C" w14:textId="77777777" w:rsidR="005C0B24" w:rsidRDefault="00000000">
      <w:pPr>
        <w:pStyle w:val="Heading2"/>
      </w:pPr>
      <w:r>
        <w:t>Week 13: Integrated Valuation and Value-Creation Studio</w:t>
      </w:r>
    </w:p>
    <w:p w14:paraId="366B12EE" w14:textId="77777777" w:rsidR="005C0B24" w:rsidRDefault="00000000">
      <w:pPr>
        <w:spacing w:before="80" w:after="60"/>
      </w:pPr>
      <w:r>
        <w:t>Topics: method reconciliation; strategic narrative; capital allocation; financing; sustainability and resilience; scenario evidence; governance; implementation; investor and stakeholder communication; limitations; oral-defence preparation</w:t>
      </w:r>
    </w:p>
    <w:p w14:paraId="44C201A3" w14:textId="77777777" w:rsidR="005C0B24" w:rsidRDefault="00000000">
      <w:pPr>
        <w:spacing w:before="60" w:after="60"/>
      </w:pPr>
      <w:r>
        <w:t>Readings: Review current authoritative financial, market, regulatory, sustainability, and organizational evidence for the approved case</w:t>
      </w:r>
    </w:p>
    <w:p w14:paraId="61C5A780" w14:textId="77777777" w:rsidR="005C0B24" w:rsidRDefault="00000000">
      <w:pPr>
        <w:spacing w:before="60" w:after="60"/>
      </w:pPr>
      <w:r>
        <w:t>Synchronous: model audit, peer challenge, instructor consultation, board-presentation rehearsal, and oral-defence preparation</w:t>
      </w:r>
    </w:p>
    <w:p w14:paraId="76B7B8CE" w14:textId="77777777" w:rsidR="005C0B24" w:rsidRDefault="00000000">
      <w:pPr>
        <w:spacing w:before="60" w:after="100"/>
      </w:pPr>
      <w:r>
        <w:t>Asynchronous: complete report, model, exhibits, presentation, AI Usage Statement, and critical reflection</w:t>
      </w:r>
    </w:p>
    <w:p w14:paraId="0139B8D7" w14:textId="77777777" w:rsidR="005C0B24" w:rsidRDefault="00000000">
      <w:pPr>
        <w:pStyle w:val="Heading2"/>
      </w:pPr>
      <w:r>
        <w:t>Week 14: Valuation Presentations, Oral Defence, and Integration</w:t>
      </w:r>
    </w:p>
    <w:p w14:paraId="1E74C947" w14:textId="77777777" w:rsidR="005C0B24" w:rsidRDefault="00000000">
      <w:pPr>
        <w:spacing w:before="80" w:after="60"/>
      </w:pPr>
      <w:r>
        <w:t>Topics: integration of corporate performance, investment, financing, valuation methods, sustainability factors, uncertainty, governance, implementation, value realization, and professional communication</w:t>
      </w:r>
    </w:p>
    <w:p w14:paraId="015A72FA" w14:textId="77777777" w:rsidR="005C0B24" w:rsidRDefault="00000000">
      <w:pPr>
        <w:spacing w:before="60" w:after="60"/>
      </w:pPr>
      <w:r>
        <w:t>Readings: No new readings; review project evidence, model, decisions, limitations, and course outcomes</w:t>
      </w:r>
    </w:p>
    <w:p w14:paraId="05F9990F" w14:textId="77777777" w:rsidR="005C0B24" w:rsidRDefault="00000000">
      <w:pPr>
        <w:spacing w:before="60" w:after="60"/>
      </w:pPr>
      <w:r>
        <w:t>Synchronous: Integrated Corporate Valuation and Value-Creation Plan presentations, individual oral defence, peer learning, and course synthesis</w:t>
      </w:r>
    </w:p>
    <w:p w14:paraId="53718112" w14:textId="77777777" w:rsidR="005C0B24" w:rsidRDefault="00000000">
      <w:pPr>
        <w:spacing w:before="60" w:after="60"/>
      </w:pPr>
      <w:r>
        <w:t>Asynchronous: submit final report, auditable model, evidence portfolio, presentation, AI Usage Statement, and individual reflection</w:t>
      </w:r>
    </w:p>
    <w:p w14:paraId="4471681A" w14:textId="77777777" w:rsidR="005C0B24" w:rsidRDefault="00000000">
      <w:pPr>
        <w:spacing w:before="60" w:after="100"/>
      </w:pPr>
      <w:r>
        <w:t>Assessment Due: Final Project: Integrated Corporate Valuation &amp; Value-Creation Plan (40%)</w:t>
      </w:r>
    </w:p>
    <w:p w14:paraId="4DB3741A" w14:textId="77777777" w:rsidR="005C0B24" w:rsidRDefault="005C0B24"/>
    <w:p w14:paraId="7879EE4C" w14:textId="77777777" w:rsidR="005C0B24" w:rsidRDefault="00000000">
      <w:pPr>
        <w:pageBreakBefore w:val="0"/>
      </w:pPr>
      <w:r/>
    </w:p>
    <w:p w14:paraId="78B7C62D" w14:textId="77777777" w:rsidR="005C0B24" w:rsidRDefault="00000000">
      <w:pPr>
        <w:pStyle w:val="Heading1"/>
      </w:pPr>
      <w:r>
        <w:lastRenderedPageBreak/>
        <w:t>7. Detailed Assignment Descriptions</w:t>
      </w:r>
    </w:p>
    <w:p w14:paraId="3D3AB431" w14:textId="77777777" w:rsidR="005C0B24" w:rsidRDefault="00000000">
      <w:pPr>
        <w:pStyle w:val="Heading2"/>
      </w:pPr>
      <w:r>
        <w:t>7.1 Valuation &amp; Capital-Allocation Studios - 10%</w:t>
      </w:r>
    </w:p>
    <w:p w14:paraId="101FA1C8" w14:textId="77777777" w:rsidR="005C0B24" w:rsidRDefault="00000000">
      <w:pPr>
        <w:spacing w:before="80" w:after="60"/>
      </w:pPr>
      <w:r>
        <w:t>Learning Outcomes Addressed: CLO1, CLO2, CLO3, CLO4, CLO5</w:t>
      </w:r>
    </w:p>
    <w:p w14:paraId="288E314D" w14:textId="77777777" w:rsidR="005C0B24" w:rsidRDefault="00000000">
      <w:pPr>
        <w:pStyle w:val="Heading3"/>
      </w:pPr>
      <w:r>
        <w:t>Description</w:t>
      </w:r>
    </w:p>
    <w:p w14:paraId="720620ED" w14:textId="77777777" w:rsidR="005C0B24" w:rsidRDefault="00000000">
      <w:pPr>
        <w:spacing w:before="80" w:after="80"/>
      </w:pPr>
      <w:r>
        <w:t>Graduate corporate-finance capability develops through disciplined preparation, financial-model construction, capital-allocation decisions, valuation laboratories, source verification, sensitivity analysis, board simulations, peer challenge, professional communication, and reflection.</w:t>
      </w:r>
    </w:p>
    <w:p w14:paraId="702A08A6" w14:textId="77777777" w:rsidR="005C0B24" w:rsidRDefault="00000000">
      <w:pPr>
        <w:pStyle w:val="Heading3"/>
      </w:pPr>
      <w:r>
        <w:t>Requirements</w:t>
      </w:r>
    </w:p>
    <w:p w14:paraId="179ABF85" w14:textId="77777777" w:rsidR="005C0B24" w:rsidRDefault="00000000">
      <w:pPr>
        <w:pStyle w:val="ListParagraph"/>
        <w:numPr>
          <w:ilvl w:val="0"/>
          <w:numId w:val="3"/>
        </w:numPr>
        <w:spacing w:before="80" w:after="80"/>
      </w:pPr>
      <w:r>
        <w:t>Attend at least 12 of 14 synchronous sessions and participate actively</w:t>
      </w:r>
    </w:p>
    <w:p w14:paraId="26B2047F" w14:textId="77777777" w:rsidR="005C0B24" w:rsidRDefault="00000000">
      <w:pPr>
        <w:pStyle w:val="ListParagraph"/>
        <w:numPr>
          <w:ilvl w:val="0"/>
          <w:numId w:val="3"/>
        </w:numPr>
        <w:spacing w:before="80" w:after="80"/>
      </w:pPr>
      <w:r>
        <w:t>Complete statement-normalization, forecasting, cost-of-capital, capital-budgeting, financing, DCF, multiples, sustainability-driver, transaction, and model-audit studios</w:t>
      </w:r>
    </w:p>
    <w:p w14:paraId="166331F0" w14:textId="77777777" w:rsidR="005C0B24" w:rsidRDefault="00000000">
      <w:pPr>
        <w:pStyle w:val="ListParagraph"/>
        <w:numPr>
          <w:ilvl w:val="0"/>
          <w:numId w:val="3"/>
        </w:numPr>
        <w:spacing w:before="80" w:after="80"/>
      </w:pPr>
      <w:r>
        <w:t>Use traceable data, explicit formulas, consistent units, documented assumptions, model checks, scenarios, uncertainty, and limitations</w:t>
      </w:r>
    </w:p>
    <w:p w14:paraId="767F87B2" w14:textId="77777777" w:rsidR="005C0B24" w:rsidRDefault="00000000">
      <w:pPr>
        <w:pStyle w:val="ListParagraph"/>
        <w:numPr>
          <w:ilvl w:val="0"/>
          <w:numId w:val="3"/>
        </w:numPr>
        <w:spacing w:before="80" w:after="80"/>
      </w:pPr>
      <w:r>
        <w:t>Provide respectful, specific, evidence-based challenge during valuation cases, investment committees, peer review, and board briefings</w:t>
      </w:r>
    </w:p>
    <w:p w14:paraId="1585AAC2" w14:textId="77777777" w:rsidR="005C0B24" w:rsidRDefault="00000000">
      <w:pPr>
        <w:pStyle w:val="ListParagraph"/>
        <w:numPr>
          <w:ilvl w:val="0"/>
          <w:numId w:val="3"/>
        </w:numPr>
        <w:spacing w:before="80" w:after="80"/>
      </w:pPr>
      <w:r>
        <w:t>Follow confidentiality, market-conduct, accessibility, academic-integrity, source-rights, and AI-disclosure requirements</w:t>
      </w:r>
    </w:p>
    <w:p w14:paraId="43F487F4" w14:textId="77777777" w:rsidR="005C0B24" w:rsidRDefault="005C0B24"/>
    <w:p w14:paraId="17106D51" w14:textId="77777777" w:rsidR="005C0B24" w:rsidRDefault="00000000">
      <w:pPr>
        <w:pStyle w:val="Heading3"/>
      </w:pPr>
      <w:r>
        <w:t>Participation Rubric</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5"/>
        <w:gridCol w:w="1902"/>
        <w:gridCol w:w="1918"/>
        <w:gridCol w:w="1945"/>
        <w:gridCol w:w="1704"/>
      </w:tblGrid>
      <w:tr w:rsidR="005C0B24" w14:paraId="70F3A06B"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6C3E6F73" w14:textId="77777777" w:rsidR="005C0B24" w:rsidRDefault="00000000">
            <w:pPr>
              <w:jc w:val="center"/>
            </w:pPr>
            <w:r>
              <w:rPr>
                <w:b/>
                <w:bCs/>
                <w:color w:val="FFFFFF"/>
                <w:sz w:val="20"/>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3246835E" w14:textId="77777777" w:rsidR="005C0B24" w:rsidRDefault="00000000">
            <w:pPr>
              <w:jc w:val="center"/>
            </w:pPr>
            <w:r>
              <w:rPr>
                <w:b/>
                <w:bCs/>
                <w:color w:val="FFFFFF"/>
                <w:sz w:val="20"/>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562A78E6" w14:textId="77777777" w:rsidR="005C0B24" w:rsidRDefault="00000000">
            <w:pPr>
              <w:jc w:val="center"/>
            </w:pPr>
            <w:r>
              <w:rPr>
                <w:b/>
                <w:bCs/>
                <w:color w:val="FFFFFF"/>
                <w:sz w:val="20"/>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366D01E5" w14:textId="77777777" w:rsidR="005C0B24" w:rsidRDefault="00000000">
            <w:pPr>
              <w:jc w:val="center"/>
            </w:pPr>
            <w:r>
              <w:rPr>
                <w:b/>
                <w:bCs/>
                <w:color w:val="FFFFFF"/>
                <w:sz w:val="20"/>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0EEE8F14" w14:textId="77777777" w:rsidR="005C0B24" w:rsidRDefault="00000000">
            <w:pPr>
              <w:jc w:val="center"/>
            </w:pPr>
            <w:r>
              <w:rPr>
                <w:b/>
                <w:bCs/>
                <w:color w:val="FFFFFF"/>
                <w:sz w:val="20"/>
                <w:szCs w:val="20"/>
              </w:rPr>
              <w:t>Needs Improvement (1)</w:t>
            </w:r>
          </w:p>
        </w:tc>
      </w:tr>
      <w:tr w:rsidR="005C0B24" w14:paraId="11E10414"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4D5E24E0" w14:textId="77777777" w:rsidR="005C0B24" w:rsidRDefault="00000000">
            <w:r>
              <w:rPr>
                <w:b/>
                <w:bCs/>
                <w:sz w:val="20"/>
                <w:szCs w:val="20"/>
              </w:rPr>
              <w:t>Preparation &amp; Engagement (20%)</w:t>
            </w:r>
          </w:p>
        </w:tc>
        <w:tc>
          <w:tcPr>
            <w:tcW w:w="2000" w:type="dxa"/>
            <w:tcBorders>
              <w:top w:val="single" w:sz="1" w:space="0" w:color="999999"/>
              <w:left w:val="single" w:sz="1" w:space="0" w:color="999999"/>
              <w:bottom w:val="single" w:sz="1" w:space="0" w:color="999999"/>
              <w:right w:val="single" w:sz="1" w:space="0" w:color="999999"/>
            </w:tcBorders>
          </w:tcPr>
          <w:p w14:paraId="2FB996E5" w14:textId="77777777" w:rsidR="005C0B24" w:rsidRDefault="00000000">
            <w:r>
              <w:rPr>
                <w:sz w:val="20"/>
                <w:szCs w:val="20"/>
              </w:rPr>
              <w:t>Consistently prepared; contributions materially advance collective corporate-finance and valuation decisions</w:t>
            </w:r>
          </w:p>
        </w:tc>
        <w:tc>
          <w:tcPr>
            <w:tcW w:w="2000" w:type="dxa"/>
            <w:tcBorders>
              <w:top w:val="single" w:sz="1" w:space="0" w:color="999999"/>
              <w:left w:val="single" w:sz="1" w:space="0" w:color="999999"/>
              <w:bottom w:val="single" w:sz="1" w:space="0" w:color="999999"/>
              <w:right w:val="single" w:sz="1" w:space="0" w:color="999999"/>
            </w:tcBorders>
          </w:tcPr>
          <w:p w14:paraId="7DDE89C8"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5D58BF81"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30B7AFD3" w14:textId="77777777" w:rsidR="005C0B24" w:rsidRDefault="00000000">
            <w:r>
              <w:rPr>
                <w:sz w:val="20"/>
                <w:szCs w:val="20"/>
              </w:rPr>
              <w:t>Incomplete, inaccurate, weakly supported, or not decision-ready</w:t>
            </w:r>
          </w:p>
        </w:tc>
      </w:tr>
      <w:tr w:rsidR="005C0B24" w14:paraId="4062A344"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00661F41" w14:textId="77777777" w:rsidR="005C0B24" w:rsidRDefault="00000000">
            <w:r>
              <w:rPr>
                <w:b/>
                <w:bCs/>
                <w:sz w:val="20"/>
                <w:szCs w:val="20"/>
              </w:rPr>
              <w:t>Financial Modelling &amp; Decision Studios (35%)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8C9A5A0" w14:textId="77777777" w:rsidR="005C0B24" w:rsidRDefault="00000000">
            <w:r>
              <w:rPr>
                <w:sz w:val="20"/>
                <w:szCs w:val="20"/>
              </w:rPr>
              <w:t>Rigorous, auditable work connects financial evidence, formulas, assumptions, scenarios, valuation, and managerial decisions</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AE3E0FE"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33B276C"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7F642815" w14:textId="77777777" w:rsidR="005C0B24" w:rsidRDefault="00000000">
            <w:r>
              <w:rPr>
                <w:sz w:val="20"/>
                <w:szCs w:val="20"/>
              </w:rPr>
              <w:t>Incomplete, inaccurate, weakly supported, or not decision-ready</w:t>
            </w:r>
          </w:p>
        </w:tc>
      </w:tr>
      <w:tr w:rsidR="005C0B24" w14:paraId="74BAC214"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231E4870" w14:textId="77777777" w:rsidR="005C0B24" w:rsidRDefault="00000000">
            <w:r>
              <w:rPr>
                <w:b/>
                <w:bCs/>
                <w:sz w:val="20"/>
                <w:szCs w:val="20"/>
              </w:rPr>
              <w:t>Professional Contribution (20%)</w:t>
            </w:r>
          </w:p>
        </w:tc>
        <w:tc>
          <w:tcPr>
            <w:tcW w:w="2000" w:type="dxa"/>
            <w:tcBorders>
              <w:top w:val="single" w:sz="1" w:space="0" w:color="999999"/>
              <w:left w:val="single" w:sz="1" w:space="0" w:color="999999"/>
              <w:bottom w:val="single" w:sz="1" w:space="0" w:color="999999"/>
              <w:right w:val="single" w:sz="1" w:space="0" w:color="999999"/>
            </w:tcBorders>
          </w:tcPr>
          <w:p w14:paraId="5BCDB745" w14:textId="77777777" w:rsidR="005C0B24" w:rsidRDefault="00000000">
            <w:r>
              <w:rPr>
                <w:sz w:val="20"/>
                <w:szCs w:val="20"/>
              </w:rPr>
              <w:t>Evidence-based questions and challenge materially improve models, controls, and board judgments</w:t>
            </w:r>
          </w:p>
        </w:tc>
        <w:tc>
          <w:tcPr>
            <w:tcW w:w="2000" w:type="dxa"/>
            <w:tcBorders>
              <w:top w:val="single" w:sz="1" w:space="0" w:color="999999"/>
              <w:left w:val="single" w:sz="1" w:space="0" w:color="999999"/>
              <w:bottom w:val="single" w:sz="1" w:space="0" w:color="999999"/>
              <w:right w:val="single" w:sz="1" w:space="0" w:color="999999"/>
            </w:tcBorders>
          </w:tcPr>
          <w:p w14:paraId="7DFCAFF3"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61F6EDF8"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59142420" w14:textId="77777777" w:rsidR="005C0B24" w:rsidRDefault="00000000">
            <w:r>
              <w:rPr>
                <w:sz w:val="20"/>
                <w:szCs w:val="20"/>
              </w:rPr>
              <w:t>Incomplete, inaccurate, weakly supported, or not decision-ready</w:t>
            </w:r>
          </w:p>
        </w:tc>
      </w:tr>
      <w:tr w:rsidR="005C0B24" w14:paraId="4888DDDE"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3BB46D08" w14:textId="77777777" w:rsidR="005C0B24" w:rsidRDefault="00000000">
            <w:r>
              <w:rPr>
                <w:b/>
                <w:bCs/>
                <w:sz w:val="20"/>
                <w:szCs w:val="20"/>
              </w:rPr>
              <w:t>Responsible Evidence &amp; Conduct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3C797D0" w14:textId="77777777" w:rsidR="005C0B24" w:rsidRDefault="00000000">
            <w:r>
              <w:rPr>
                <w:sz w:val="20"/>
                <w:szCs w:val="20"/>
              </w:rPr>
              <w:t>Exemplary provenance, confidentiality, market conduct, ethics, accessibility, reproducibility, and AI transparency</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B17BA1C" w14:textId="77777777" w:rsidR="005C0B24" w:rsidRDefault="00000000">
            <w:r>
              <w:rPr>
                <w:sz w:val="20"/>
                <w:szCs w:val="20"/>
              </w:rPr>
              <w:t>Strong, relevant work with minor gaps in evidence, integration, or precision</w:t>
            </w:r>
            <w:proofErr w:type="gramStart"/>
            <w:r>
              <w:rPr>
                <w:sz w:val="20"/>
                <w:szCs w:val="20"/>
              </w:rPr>
            </w:r>
            <w:proofErr w:type="gramEnd"/>
            <w:r>
              <w:rPr>
                <w:sz w:val="20"/>
                <w:szCs w:val="20"/>
              </w:rPr>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084BC32E"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5D8B6AB1" w14:textId="77777777" w:rsidR="005C0B24" w:rsidRDefault="00000000">
            <w:proofErr w:type="gramStart"/>
            <w:r>
              <w:rPr>
                <w:sz w:val="20"/>
                <w:szCs w:val="20"/>
              </w:rPr>
              <w:t>Incomplete, inaccurate, weakly supported, or not decision-ready</w:t>
            </w:r>
            <w:proofErr w:type="gramEnd"/>
            <w:r>
              <w:rPr>
                <w:sz w:val="20"/>
                <w:szCs w:val="20"/>
              </w:rPr>
            </w:r>
          </w:p>
        </w:tc>
      </w:tr>
    </w:tbl>
    <w:p w14:paraId="45B4781F" w14:textId="77777777" w:rsidR="005C0B24" w:rsidRDefault="005C0B24"/>
    <w:p w14:paraId="37711B5F" w14:textId="77777777" w:rsidR="005C0B24" w:rsidRDefault="00000000">
      <w:pPr>
        <w:pageBreakBefore w:val="0"/>
      </w:pPr>
      <w:r/>
    </w:p>
    <w:p w14:paraId="0933EAC0" w14:textId="77777777" w:rsidR="005C0B24" w:rsidRDefault="00000000">
      <w:pPr>
        <w:pStyle w:val="Heading2"/>
      </w:pPr>
      <w:r>
        <w:t>7.2 Forecasting &amp; Cost-of-Capital Model (Formative Assessment 1) - 15%</w:t>
      </w:r>
    </w:p>
    <w:p w14:paraId="27C1760F" w14:textId="77777777" w:rsidR="005C0B24" w:rsidRDefault="00000000">
      <w:pPr>
        <w:spacing w:before="80" w:after="60"/>
      </w:pPr>
      <w:r>
        <w:t>Learning Outcomes Addressed: CLO1, CLO2, CLO3</w:t>
      </w:r>
    </w:p>
    <w:p w14:paraId="43DADAAA" w14:textId="77777777" w:rsidR="005C0B24" w:rsidRDefault="00000000">
      <w:pPr>
        <w:spacing w:before="60" w:after="60"/>
      </w:pPr>
      <w:r>
        <w:t>Due Date: Week 4</w:t>
      </w:r>
    </w:p>
    <w:p w14:paraId="3E0394F5" w14:textId="77777777" w:rsidR="005C0B24" w:rsidRDefault="00000000">
      <w:pPr>
        <w:pStyle w:val="Heading3"/>
      </w:pPr>
      <w:r>
        <w:t>Description</w:t>
      </w:r>
    </w:p>
    <w:p w14:paraId="2A7655BE" w14:textId="77777777" w:rsidR="005C0B24" w:rsidRDefault="00000000">
      <w:pPr>
        <w:spacing w:before="80" w:after="80"/>
      </w:pPr>
      <w:r>
        <w:t>Students build an auditable historical analysis, operating forecast, free-cash-flow model, and cost-of-capital estimate for an approved public company or instructor-provided case.</w:t>
      </w:r>
    </w:p>
    <w:p w14:paraId="18C43297" w14:textId="77777777" w:rsidR="005C0B24" w:rsidRDefault="00000000">
      <w:pPr>
        <w:pStyle w:val="Heading3"/>
      </w:pPr>
      <w:r>
        <w:t>Requirements</w:t>
      </w:r>
    </w:p>
    <w:p w14:paraId="39D59928" w14:textId="77777777" w:rsidR="005C0B24" w:rsidRDefault="00000000">
      <w:pPr>
        <w:pStyle w:val="ListParagraph"/>
        <w:numPr>
          <w:ilvl w:val="0"/>
          <w:numId w:val="4"/>
        </w:numPr>
        <w:spacing w:before="80" w:after="80"/>
      </w:pPr>
      <w:r>
        <w:t>Define valuation date, currency, reporting basis, business scope, source hierarchy, and model architecture</w:t>
      </w:r>
    </w:p>
    <w:p w14:paraId="52616640" w14:textId="77777777" w:rsidR="005C0B24" w:rsidRDefault="00000000">
      <w:pPr>
        <w:pStyle w:val="ListParagraph"/>
        <w:numPr>
          <w:ilvl w:val="0"/>
          <w:numId w:val="4"/>
        </w:numPr>
        <w:spacing w:before="80" w:after="80"/>
      </w:pPr>
      <w:r>
        <w:t>Normalize historical statements and calculate invested capital, return on invested capital, growth, margins, working capital, reinvestment, and free cash flow</w:t>
      </w:r>
    </w:p>
    <w:p w14:paraId="7D9C9377" w14:textId="77777777" w:rsidR="005C0B24" w:rsidRDefault="00000000">
      <w:pPr>
        <w:pStyle w:val="ListParagraph"/>
        <w:numPr>
          <w:ilvl w:val="0"/>
          <w:numId w:val="4"/>
        </w:numPr>
        <w:spacing w:before="80" w:after="80"/>
      </w:pPr>
      <w:r>
        <w:t>Develop integrated base-case forecasts using explicit operational and financial drivers</w:t>
      </w:r>
    </w:p>
    <w:p w14:paraId="7AD243D9" w14:textId="77777777" w:rsidR="005C0B24" w:rsidRDefault="00000000">
      <w:pPr>
        <w:pStyle w:val="ListParagraph"/>
        <w:numPr>
          <w:ilvl w:val="0"/>
          <w:numId w:val="4"/>
        </w:numPr>
        <w:spacing w:before="80" w:after="80"/>
      </w:pPr>
      <w:r>
        <w:t>Estimate cost of equity, cost of debt, target capital structure, and weighted average cost of capital with currency and country consistency</w:t>
      </w:r>
    </w:p>
    <w:p w14:paraId="6F81D357" w14:textId="77777777" w:rsidR="005C0B24" w:rsidRDefault="00000000">
      <w:pPr>
        <w:pStyle w:val="ListParagraph"/>
        <w:numPr>
          <w:ilvl w:val="0"/>
          <w:numId w:val="4"/>
        </w:numPr>
        <w:spacing w:before="80" w:after="80"/>
      </w:pPr>
      <w:r>
        <w:t>Document formulas, sources, assumptions, checks, sensitivities, limitations, and a complete AI Usage Statement</w:t>
      </w:r>
    </w:p>
    <w:p w14:paraId="6295A604" w14:textId="77777777" w:rsidR="005C0B24" w:rsidRDefault="00000000">
      <w:pPr>
        <w:spacing w:before="80" w:after="60"/>
      </w:pPr>
      <w:r>
        <w:t>Total Length: 1,500-2,000-word technical memorandum plus auditable spreadsheet model, financial statements, forecast, cost-of-capital exhibits, and source record</w:t>
      </w:r>
    </w:p>
    <w:p w14:paraId="220ED992" w14:textId="77777777" w:rsidR="005C0B24" w:rsidRDefault="00000000">
      <w:pPr>
        <w:spacing w:before="60" w:after="60"/>
      </w:pPr>
      <w:r>
        <w:t>Format: APA 7 professional brief with auditable exhibits; submit PDF and editable source files through the LMS</w:t>
      </w:r>
    </w:p>
    <w:p w14:paraId="2EBD8205" w14:textId="77777777" w:rsidR="005C0B24" w:rsidRDefault="005C0B24"/>
    <w:p w14:paraId="3731B456" w14:textId="77777777" w:rsidR="005C0B24" w:rsidRDefault="00000000">
      <w:pPr>
        <w:pStyle w:val="Heading3"/>
      </w:pPr>
      <w:r>
        <w:t>Forecasting &amp; Cost-of-Capital Model Rubric</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2"/>
        <w:gridCol w:w="1935"/>
        <w:gridCol w:w="1904"/>
        <w:gridCol w:w="1927"/>
        <w:gridCol w:w="1706"/>
      </w:tblGrid>
      <w:tr w:rsidR="005C0B24" w14:paraId="6A0F7316"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08E01BC4" w14:textId="77777777" w:rsidR="005C0B24" w:rsidRDefault="00000000">
            <w:pPr>
              <w:jc w:val="center"/>
            </w:pPr>
            <w:r>
              <w:rPr>
                <w:b/>
                <w:bCs/>
                <w:color w:val="FFFFFF"/>
                <w:sz w:val="17"/>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895DD7C" w14:textId="77777777" w:rsidR="005C0B24" w:rsidRDefault="00000000">
            <w:pPr>
              <w:jc w:val="center"/>
            </w:pPr>
            <w:r>
              <w:rPr>
                <w:b/>
                <w:bCs/>
                <w:color w:val="FFFFFF"/>
                <w:sz w:val="17"/>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485EA920" w14:textId="77777777" w:rsidR="005C0B24" w:rsidRDefault="00000000">
            <w:pPr>
              <w:jc w:val="center"/>
            </w:pPr>
            <w:r>
              <w:rPr>
                <w:b/>
                <w:bCs/>
                <w:color w:val="FFFFFF"/>
                <w:sz w:val="17"/>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728B0A9C" w14:textId="77777777" w:rsidR="005C0B24" w:rsidRDefault="00000000">
            <w:pPr>
              <w:jc w:val="center"/>
            </w:pPr>
            <w:r>
              <w:rPr>
                <w:b/>
                <w:bCs/>
                <w:color w:val="FFFFFF"/>
                <w:sz w:val="17"/>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5B2308A4" w14:textId="77777777" w:rsidR="005C0B24" w:rsidRDefault="00000000">
            <w:pPr>
              <w:jc w:val="center"/>
            </w:pPr>
            <w:r>
              <w:rPr>
                <w:b/>
                <w:bCs/>
                <w:color w:val="FFFFFF"/>
                <w:sz w:val="17"/>
                <w:szCs w:val="20"/>
              </w:rPr>
              <w:t>Needs Improvement (1)</w:t>
            </w:r>
          </w:p>
        </w:tc>
      </w:tr>
      <w:tr w:rsidR="005C0B24" w14:paraId="08B5DD11"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6DBF0854" w14:textId="77777777" w:rsidR="005C0B24" w:rsidRDefault="00000000">
            <w:r>
              <w:rPr>
                <w:b/>
                <w:bCs/>
                <w:sz w:val="17"/>
                <w:szCs w:val="20"/>
              </w:rPr>
              <w:t>Scope, Evidence &amp; Historical Analysis (20%)</w:t>
            </w:r>
          </w:p>
        </w:tc>
        <w:tc>
          <w:tcPr>
            <w:tcW w:w="2000" w:type="dxa"/>
            <w:tcBorders>
              <w:top w:val="single" w:sz="1" w:space="0" w:color="999999"/>
              <w:left w:val="single" w:sz="1" w:space="0" w:color="999999"/>
              <w:bottom w:val="single" w:sz="1" w:space="0" w:color="999999"/>
              <w:right w:val="single" w:sz="1" w:space="0" w:color="999999"/>
            </w:tcBorders>
          </w:tcPr>
          <w:p w14:paraId="54AF6996" w14:textId="77777777" w:rsidR="005C0B24" w:rsidRDefault="00000000">
            <w:r>
              <w:rPr>
                <w:sz w:val="17"/>
                <w:szCs w:val="20"/>
              </w:rPr>
              <w:t>Precise scope, source hierarchy, normalization, value-driver analysis, and data provenance</w:t>
            </w:r>
          </w:p>
        </w:tc>
        <w:tc>
          <w:tcPr>
            <w:tcW w:w="2000" w:type="dxa"/>
            <w:tcBorders>
              <w:top w:val="single" w:sz="1" w:space="0" w:color="999999"/>
              <w:left w:val="single" w:sz="1" w:space="0" w:color="999999"/>
              <w:bottom w:val="single" w:sz="1" w:space="0" w:color="999999"/>
              <w:right w:val="single" w:sz="1" w:space="0" w:color="999999"/>
            </w:tcBorders>
          </w:tcPr>
          <w:p w14:paraId="68728F0F"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0DE71E0D"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767885E7" w14:textId="77777777" w:rsidR="005C0B24" w:rsidRDefault="00000000">
            <w:r>
              <w:rPr>
                <w:sz w:val="17"/>
                <w:szCs w:val="20"/>
              </w:rPr>
              <w:t>Incomplete, inaccurate, weakly supported, or not decision-ready</w:t>
            </w:r>
          </w:p>
        </w:tc>
      </w:tr>
      <w:tr w:rsidR="005C0B24" w14:paraId="793F32DC"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43EE8940" w14:textId="77777777" w:rsidR="005C0B24" w:rsidRDefault="00000000">
            <w:r>
              <w:rPr>
                <w:b/>
                <w:bCs/>
                <w:sz w:val="17"/>
                <w:szCs w:val="20"/>
              </w:rPr>
              <w:t>Forecast &amp; Free Cash Flow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1143F4E" w14:textId="77777777" w:rsidR="005C0B24" w:rsidRDefault="00000000">
            <w:r>
              <w:rPr>
                <w:sz w:val="17"/>
                <w:szCs w:val="20"/>
              </w:rPr>
              <w:t>Integrated statements and operating drivers produce coherent, decision-useful cash flows</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0CD721E"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49FE07D"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5473CAFD" w14:textId="77777777" w:rsidR="005C0B24" w:rsidRDefault="00000000">
            <w:r>
              <w:rPr>
                <w:sz w:val="17"/>
                <w:szCs w:val="20"/>
              </w:rPr>
              <w:t>Incomplete, inaccurate, weakly supported, or not decision-ready</w:t>
            </w:r>
          </w:p>
        </w:tc>
      </w:tr>
      <w:tr w:rsidR="005C0B24" w14:paraId="1839EA66"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088F11CB" w14:textId="77777777" w:rsidR="005C0B24" w:rsidRDefault="00000000">
            <w:r>
              <w:rPr>
                <w:b/>
                <w:bCs/>
                <w:sz w:val="17"/>
                <w:szCs w:val="20"/>
              </w:rPr>
              <w:t>Cost of Capital &amp; Financial Consistency (25%)</w:t>
            </w:r>
          </w:p>
        </w:tc>
        <w:tc>
          <w:tcPr>
            <w:tcW w:w="2000" w:type="dxa"/>
            <w:tcBorders>
              <w:top w:val="single" w:sz="1" w:space="0" w:color="999999"/>
              <w:left w:val="single" w:sz="1" w:space="0" w:color="999999"/>
              <w:bottom w:val="single" w:sz="1" w:space="0" w:color="999999"/>
              <w:right w:val="single" w:sz="1" w:space="0" w:color="999999"/>
            </w:tcBorders>
          </w:tcPr>
          <w:p w14:paraId="73AA5390" w14:textId="77777777" w:rsidR="005C0B24" w:rsidRDefault="00000000">
            <w:r>
              <w:rPr>
                <w:sz w:val="17"/>
                <w:szCs w:val="20"/>
              </w:rPr>
              <w:t>Discount rates, leverage, tax, currency, country, and inflation assumptions are well supported and internally consistent</w:t>
            </w:r>
          </w:p>
        </w:tc>
        <w:tc>
          <w:tcPr>
            <w:tcW w:w="2000" w:type="dxa"/>
            <w:tcBorders>
              <w:top w:val="single" w:sz="1" w:space="0" w:color="999999"/>
              <w:left w:val="single" w:sz="1" w:space="0" w:color="999999"/>
              <w:bottom w:val="single" w:sz="1" w:space="0" w:color="999999"/>
              <w:right w:val="single" w:sz="1" w:space="0" w:color="999999"/>
            </w:tcBorders>
          </w:tcPr>
          <w:p w14:paraId="6854ABB4"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134C03EA"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663EF495" w14:textId="77777777" w:rsidR="005C0B24" w:rsidRDefault="00000000">
            <w:r>
              <w:rPr>
                <w:sz w:val="17"/>
                <w:szCs w:val="20"/>
              </w:rPr>
              <w:t>Incomplete, inaccurate, weakly supported, or not decision-ready</w:t>
            </w:r>
          </w:p>
        </w:tc>
      </w:tr>
      <w:tr w:rsidR="005C0B24" w14:paraId="4CB26EFB"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00E1FE9C" w14:textId="77777777" w:rsidR="005C0B24" w:rsidRDefault="00000000">
            <w:r>
              <w:rPr>
                <w:b/>
                <w:bCs/>
                <w:sz w:val="17"/>
                <w:szCs w:val="20"/>
              </w:rPr>
              <w:t>Model Architecture, Controls &amp; Sensitivity (20%)</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8F158F2" w14:textId="77777777" w:rsidR="005C0B24" w:rsidRDefault="00000000">
            <w:r>
              <w:rPr>
                <w:sz w:val="17"/>
                <w:szCs w:val="20"/>
              </w:rPr>
              <w:t>Formulas, checks, scenarios, sensitivities, and audit trail are robust and reproducible</w:t>
            </w:r>
            <w:proofErr w:type="gramStart"/>
            <w:r>
              <w:rPr>
                <w:sz w:val="17"/>
                <w:szCs w:val="20"/>
              </w:rPr>
            </w:r>
            <w:proofErr w:type="gramEnd"/>
            <w:r>
              <w:rPr>
                <w:sz w:val="17"/>
                <w:szCs w:val="20"/>
              </w:rPr>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DEE378C"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6D5D000"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2399572F" w14:textId="77777777" w:rsidR="005C0B24" w:rsidRDefault="00000000">
            <w:r>
              <w:rPr>
                <w:sz w:val="17"/>
                <w:szCs w:val="20"/>
              </w:rPr>
              <w:t>Incomplete, inaccurate, weakly supported, or not decision-ready</w:t>
            </w:r>
            <w:proofErr w:type="gramStart"/>
            <w:r>
              <w:rPr>
                <w:sz w:val="17"/>
                <w:szCs w:val="20"/>
              </w:rPr>
            </w:r>
            <w:proofErr w:type="gramEnd"/>
            <w:r>
              <w:rPr>
                <w:sz w:val="17"/>
                <w:szCs w:val="20"/>
              </w:rPr>
            </w:r>
          </w:p>
        </w:tc>
      </w:tr>
      <w:tr w:rsidR="005C0B24" w14:paraId="6702BD48"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745862E8" w14:textId="77777777" w:rsidR="005C0B24" w:rsidRDefault="00000000">
            <w:r>
              <w:rPr>
                <w:b/>
                <w:bCs/>
                <w:sz w:val="17"/>
                <w:szCs w:val="20"/>
              </w:rPr>
              <w:t>Communication, Limitations &amp; AI Transparency (10%)</w:t>
            </w:r>
          </w:p>
        </w:tc>
        <w:tc>
          <w:tcPr>
            <w:tcW w:w="2000" w:type="dxa"/>
            <w:tcBorders>
              <w:top w:val="single" w:sz="1" w:space="0" w:color="999999"/>
              <w:left w:val="single" w:sz="1" w:space="0" w:color="999999"/>
              <w:bottom w:val="single" w:sz="1" w:space="0" w:color="999999"/>
              <w:right w:val="single" w:sz="1" w:space="0" w:color="999999"/>
            </w:tcBorders>
          </w:tcPr>
          <w:p w14:paraId="7DD7424F" w14:textId="77777777" w:rsidR="005C0B24" w:rsidRDefault="00000000">
            <w:r>
              <w:rPr>
                <w:sz w:val="17"/>
                <w:szCs w:val="20"/>
              </w:rPr>
              <w:t>Technical memorandum is decision-ready, calibrated, accessible, and fully documented</w:t>
            </w:r>
          </w:p>
        </w:tc>
        <w:tc>
          <w:tcPr>
            <w:tcW w:w="2000" w:type="dxa"/>
            <w:tcBorders>
              <w:top w:val="single" w:sz="1" w:space="0" w:color="999999"/>
              <w:left w:val="single" w:sz="1" w:space="0" w:color="999999"/>
              <w:bottom w:val="single" w:sz="1" w:space="0" w:color="999999"/>
              <w:right w:val="single" w:sz="1" w:space="0" w:color="999999"/>
            </w:tcBorders>
          </w:tcPr>
          <w:p w14:paraId="4617BD6C"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17CAA14B"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539A718B" w14:textId="77777777" w:rsidR="005C0B24" w:rsidRDefault="00000000">
            <w:r>
              <w:rPr>
                <w:sz w:val="17"/>
                <w:szCs w:val="20"/>
              </w:rPr>
              <w:t>Incomplete, inaccurate, weakly supported, or not decision-ready</w:t>
            </w:r>
          </w:p>
        </w:tc>
      </w:tr>
    </w:tbl>
    <w:p w14:paraId="6F24608D" w14:textId="77777777" w:rsidR="005C0B24" w:rsidRDefault="005C0B24"/>
    <w:p w14:paraId="6198E28E" w14:textId="77777777" w:rsidR="005C0B24" w:rsidRDefault="00000000">
      <w:r>
        <w:br w:type="page"/>
      </w:r>
    </w:p>
    <w:p w14:paraId="413839A0" w14:textId="77777777" w:rsidR="005C0B24" w:rsidRDefault="00000000">
      <w:pPr>
        <w:pStyle w:val="Heading2"/>
      </w:pPr>
      <w:r>
        <w:t>7.3 Midterm Examination (Summative Assessment 1) - 20%</w:t>
      </w:r>
    </w:p>
    <w:p w14:paraId="25079960" w14:textId="77777777" w:rsidR="005C0B24" w:rsidRDefault="00000000">
      <w:pPr>
        <w:spacing w:before="80" w:after="60"/>
      </w:pPr>
      <w:r>
        <w:t>Learning Outcomes Addressed: CLO1, CLO2, CLO3, CLO4</w:t>
      </w:r>
    </w:p>
    <w:p w14:paraId="2F93C115" w14:textId="77777777" w:rsidR="005C0B24" w:rsidRDefault="00000000">
      <w:pPr>
        <w:spacing w:before="60" w:after="60"/>
      </w:pPr>
      <w:r>
        <w:t>Due Date: Week 7</w:t>
      </w:r>
    </w:p>
    <w:p w14:paraId="526307DD" w14:textId="77777777" w:rsidR="005C0B24" w:rsidRDefault="00000000">
      <w:pPr>
        <w:pStyle w:val="Heading3"/>
      </w:pPr>
      <w:r>
        <w:t>Description</w:t>
      </w:r>
    </w:p>
    <w:p w14:paraId="3C317CD5" w14:textId="77777777" w:rsidR="005C0B24" w:rsidRDefault="00000000">
      <w:pPr>
        <w:spacing w:before="80" w:after="80"/>
      </w:pPr>
      <w:r>
        <w:t>The individual examination assesses independent mastery and integration of corporate performance analysis, free-cash-flow forecasting, cost of capital, capital budgeting, financing, payout, liquidity, model controls, and managerial judgment.</w:t>
      </w:r>
    </w:p>
    <w:p w14:paraId="518EBF29" w14:textId="77777777" w:rsidR="005C0B24" w:rsidRDefault="00000000">
      <w:pPr>
        <w:pStyle w:val="Heading3"/>
      </w:pPr>
      <w:r>
        <w:t>Requirements</w:t>
      </w:r>
    </w:p>
    <w:p w14:paraId="6C48622E" w14:textId="77777777" w:rsidR="005C0B24" w:rsidRDefault="00000000">
      <w:pPr>
        <w:pStyle w:val="ListParagraph"/>
        <w:numPr>
          <w:ilvl w:val="0"/>
          <w:numId w:val="5"/>
        </w:numPr>
        <w:spacing w:before="80" w:after="80"/>
      </w:pPr>
      <w:r>
        <w:t>Normalize financial information and interpret value drivers, return on invested capital, growth, and free cash flow</w:t>
      </w:r>
    </w:p>
    <w:p w14:paraId="2FEB7A32" w14:textId="77777777" w:rsidR="005C0B24" w:rsidRDefault="00000000">
      <w:pPr>
        <w:pStyle w:val="ListParagraph"/>
        <w:numPr>
          <w:ilvl w:val="0"/>
          <w:numId w:val="5"/>
        </w:numPr>
        <w:spacing w:before="80" w:after="80"/>
      </w:pPr>
      <w:r>
        <w:t>Construct and evaluate incremental project cash flows using appropriate decision criteria</w:t>
      </w:r>
    </w:p>
    <w:p w14:paraId="77BB90D3" w14:textId="77777777" w:rsidR="005C0B24" w:rsidRDefault="00000000">
      <w:pPr>
        <w:pStyle w:val="ListParagraph"/>
        <w:numPr>
          <w:ilvl w:val="0"/>
          <w:numId w:val="5"/>
        </w:numPr>
        <w:spacing w:before="80" w:after="80"/>
      </w:pPr>
      <w:r>
        <w:t>Estimate cost of capital and diagnose currency, country, leverage, tax, and model-consistency problems</w:t>
      </w:r>
    </w:p>
    <w:p w14:paraId="71AFE57C" w14:textId="77777777" w:rsidR="005C0B24" w:rsidRDefault="00000000">
      <w:pPr>
        <w:pStyle w:val="ListParagraph"/>
        <w:numPr>
          <w:ilvl w:val="0"/>
          <w:numId w:val="5"/>
        </w:numPr>
        <w:spacing w:before="80" w:after="80"/>
      </w:pPr>
      <w:r>
        <w:t>Evaluate financing, capital-structure, payout, liquidity, and financial-flexibility alternatives</w:t>
      </w:r>
    </w:p>
    <w:p w14:paraId="0403C98D" w14:textId="77777777" w:rsidR="005C0B24" w:rsidRDefault="00000000">
      <w:pPr>
        <w:pStyle w:val="ListParagraph"/>
        <w:numPr>
          <w:ilvl w:val="0"/>
          <w:numId w:val="5"/>
        </w:numPr>
        <w:spacing w:before="80" w:after="80"/>
      </w:pPr>
      <w:r>
        <w:t>Recommend and defend a capital-allocation decision with calculations, uncertainty, governance, and limitations</w:t>
      </w:r>
    </w:p>
    <w:p w14:paraId="2057D14F" w14:textId="77777777" w:rsidR="005C0B24" w:rsidRDefault="00000000">
      <w:pPr>
        <w:spacing w:before="80" w:after="60"/>
      </w:pPr>
      <w:r>
        <w:t>Format: 120-minute examination with applied short answers, evidence interpretation, analytical work, and an integrated decision case</w:t>
      </w:r>
    </w:p>
    <w:p w14:paraId="6405882F" w14:textId="77777777" w:rsidR="005C0B24" w:rsidRDefault="00000000">
      <w:pPr>
        <w:spacing w:before="60" w:after="60"/>
      </w:pPr>
      <w:r>
        <w:t>Conditions: Individual work; approved reference sheet and calculator permitted; generative AI not permitted</w:t>
      </w:r>
    </w:p>
    <w:p w14:paraId="43464DAA" w14:textId="77777777" w:rsidR="005C0B24" w:rsidRDefault="005C0B24"/>
    <w:p w14:paraId="7B1E3D62" w14:textId="77777777" w:rsidR="005C0B24" w:rsidRDefault="00000000">
      <w:pPr>
        <w:pStyle w:val="Heading3"/>
      </w:pPr>
      <w:r>
        <w:t>Midterm Examination Rubric</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0"/>
        <w:gridCol w:w="1838"/>
        <w:gridCol w:w="1839"/>
        <w:gridCol w:w="1839"/>
        <w:gridCol w:w="1698"/>
      </w:tblGrid>
      <w:tr w:rsidR="005C0B24" w14:paraId="74AE4B33"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5225D582" w14:textId="77777777" w:rsidR="005C0B24" w:rsidRDefault="00000000">
            <w:pPr>
              <w:jc w:val="center"/>
            </w:pPr>
            <w:r>
              <w:rPr>
                <w:b/>
                <w:bCs/>
                <w:color w:val="FFFFFF"/>
                <w:sz w:val="20"/>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07CAE47" w14:textId="77777777" w:rsidR="005C0B24" w:rsidRDefault="00000000">
            <w:pPr>
              <w:jc w:val="center"/>
            </w:pPr>
            <w:r>
              <w:rPr>
                <w:b/>
                <w:bCs/>
                <w:color w:val="FFFFFF"/>
                <w:sz w:val="20"/>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A36894D" w14:textId="77777777" w:rsidR="005C0B24" w:rsidRDefault="00000000">
            <w:pPr>
              <w:jc w:val="center"/>
            </w:pPr>
            <w:r>
              <w:rPr>
                <w:b/>
                <w:bCs/>
                <w:color w:val="FFFFFF"/>
                <w:sz w:val="20"/>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393E0898" w14:textId="77777777" w:rsidR="005C0B24" w:rsidRDefault="00000000">
            <w:pPr>
              <w:jc w:val="center"/>
            </w:pPr>
            <w:r>
              <w:rPr>
                <w:b/>
                <w:bCs/>
                <w:color w:val="FFFFFF"/>
                <w:sz w:val="20"/>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1BDC7CD9" w14:textId="77777777" w:rsidR="005C0B24" w:rsidRDefault="00000000">
            <w:pPr>
              <w:jc w:val="center"/>
            </w:pPr>
            <w:r>
              <w:rPr>
                <w:b/>
                <w:bCs/>
                <w:color w:val="FFFFFF"/>
                <w:sz w:val="20"/>
                <w:szCs w:val="20"/>
              </w:rPr>
              <w:t>Needs Improvement (1)</w:t>
            </w:r>
          </w:p>
        </w:tc>
      </w:tr>
      <w:tr w:rsidR="005C0B24" w14:paraId="621C80C7"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5D87D079" w14:textId="77777777" w:rsidR="005C0B24" w:rsidRDefault="00000000">
            <w:r>
              <w:rPr>
                <w:b/>
                <w:bCs/>
                <w:sz w:val="20"/>
                <w:szCs w:val="20"/>
              </w:rPr>
              <w:t>Financial Analysis &amp; Forecasting (20%)</w:t>
            </w:r>
          </w:p>
        </w:tc>
        <w:tc>
          <w:tcPr>
            <w:tcW w:w="2000" w:type="dxa"/>
            <w:tcBorders>
              <w:top w:val="single" w:sz="1" w:space="0" w:color="999999"/>
              <w:left w:val="single" w:sz="1" w:space="0" w:color="999999"/>
              <w:bottom w:val="single" w:sz="1" w:space="0" w:color="999999"/>
              <w:right w:val="single" w:sz="1" w:space="0" w:color="999999"/>
            </w:tcBorders>
          </w:tcPr>
          <w:p w14:paraId="3E558FFE" w14:textId="77777777" w:rsidR="005C0B24" w:rsidRDefault="00000000">
            <w:r>
              <w:rPr>
                <w:sz w:val="20"/>
                <w:szCs w:val="20"/>
              </w:rPr>
              <w:t>Historical adjustments, value drivers, assumptions, and free cash flows are accurate and integrated</w:t>
            </w:r>
          </w:p>
        </w:tc>
        <w:tc>
          <w:tcPr>
            <w:tcW w:w="2000" w:type="dxa"/>
            <w:tcBorders>
              <w:top w:val="single" w:sz="1" w:space="0" w:color="999999"/>
              <w:left w:val="single" w:sz="1" w:space="0" w:color="999999"/>
              <w:bottom w:val="single" w:sz="1" w:space="0" w:color="999999"/>
              <w:right w:val="single" w:sz="1" w:space="0" w:color="999999"/>
            </w:tcBorders>
          </w:tcPr>
          <w:p w14:paraId="7381DB89"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57D015EC"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64E5E203" w14:textId="77777777" w:rsidR="005C0B24" w:rsidRDefault="00000000">
            <w:r>
              <w:rPr>
                <w:sz w:val="20"/>
                <w:szCs w:val="20"/>
              </w:rPr>
              <w:t>Incomplete, inaccurate, weakly supported, or not decision-ready</w:t>
            </w:r>
          </w:p>
        </w:tc>
      </w:tr>
      <w:tr w:rsidR="005C0B24" w14:paraId="5B700B2E"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7A853D83" w14:textId="77777777" w:rsidR="005C0B24" w:rsidRDefault="00000000">
            <w:r>
              <w:rPr>
                <w:b/>
                <w:bCs/>
                <w:sz w:val="20"/>
                <w:szCs w:val="20"/>
              </w:rPr>
              <w:t>Capital Budgeting &amp; Valuation Methods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495C805" w14:textId="77777777" w:rsidR="005C0B24" w:rsidRDefault="00000000">
            <w:r>
              <w:rPr>
                <w:sz w:val="20"/>
                <w:szCs w:val="20"/>
              </w:rPr>
              <w:t>Methods and calculations are selected and applied correctly to the decision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127445A"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A76170C"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5F5F05D8" w14:textId="77777777" w:rsidR="005C0B24" w:rsidRDefault="00000000">
            <w:r>
              <w:rPr>
                <w:sz w:val="20"/>
                <w:szCs w:val="20"/>
              </w:rPr>
              <w:t>Incomplete, inaccurate, weakly supported, or not decision-ready</w:t>
            </w:r>
          </w:p>
        </w:tc>
      </w:tr>
      <w:tr w:rsidR="005C0B24" w14:paraId="76FE8539"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7469CA23" w14:textId="77777777" w:rsidR="005C0B24" w:rsidRDefault="00000000">
            <w:r>
              <w:rPr>
                <w:b/>
                <w:bCs/>
                <w:sz w:val="20"/>
                <w:szCs w:val="20"/>
              </w:rPr>
              <w:t>Cost of Capital, Financing &amp; Liquidity (25%)</w:t>
            </w:r>
          </w:p>
        </w:tc>
        <w:tc>
          <w:tcPr>
            <w:tcW w:w="2000" w:type="dxa"/>
            <w:tcBorders>
              <w:top w:val="single" w:sz="1" w:space="0" w:color="999999"/>
              <w:left w:val="single" w:sz="1" w:space="0" w:color="999999"/>
              <w:bottom w:val="single" w:sz="1" w:space="0" w:color="999999"/>
              <w:right w:val="single" w:sz="1" w:space="0" w:color="999999"/>
            </w:tcBorders>
          </w:tcPr>
          <w:p w14:paraId="197C862C" w14:textId="77777777" w:rsidR="005C0B24" w:rsidRDefault="00000000">
            <w:r>
              <w:rPr>
                <w:sz w:val="20"/>
                <w:szCs w:val="20"/>
              </w:rPr>
              <w:t>Risk, discount rates, capital structure, payout, covenants, and flexibility are rigorously evaluated</w:t>
            </w:r>
          </w:p>
        </w:tc>
        <w:tc>
          <w:tcPr>
            <w:tcW w:w="2000" w:type="dxa"/>
            <w:tcBorders>
              <w:top w:val="single" w:sz="1" w:space="0" w:color="999999"/>
              <w:left w:val="single" w:sz="1" w:space="0" w:color="999999"/>
              <w:bottom w:val="single" w:sz="1" w:space="0" w:color="999999"/>
              <w:right w:val="single" w:sz="1" w:space="0" w:color="999999"/>
            </w:tcBorders>
          </w:tcPr>
          <w:p w14:paraId="5933F75C"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39A57929"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1C25F396" w14:textId="77777777" w:rsidR="005C0B24" w:rsidRDefault="00000000">
            <w:r>
              <w:rPr>
                <w:sz w:val="20"/>
                <w:szCs w:val="20"/>
              </w:rPr>
              <w:t>Incomplete, inaccurate, weakly supported, or not decision-ready</w:t>
            </w:r>
          </w:p>
        </w:tc>
      </w:tr>
      <w:tr w:rsidR="005C0B24" w14:paraId="49C5AD5A"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1D49E3B4" w14:textId="77777777" w:rsidR="005C0B24" w:rsidRDefault="00000000">
            <w:r>
              <w:rPr>
                <w:b/>
                <w:bCs/>
                <w:sz w:val="20"/>
                <w:szCs w:val="20"/>
              </w:rPr>
              <w:t>Evidence, Uncertainty &amp; Governance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6B13DF1" w14:textId="77777777" w:rsidR="005C0B24" w:rsidRDefault="00000000">
            <w:r>
              <w:rPr>
                <w:sz w:val="20"/>
                <w:szCs w:val="20"/>
              </w:rPr>
              <w:t>Sources, model limits, scenarios, controls, ethics, and decision rights are critically handled</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48A22051"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0EBE8E22"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3F5F6580" w14:textId="77777777" w:rsidR="005C0B24" w:rsidRDefault="00000000">
            <w:r>
              <w:rPr>
                <w:sz w:val="20"/>
                <w:szCs w:val="20"/>
              </w:rPr>
              <w:t>Incomplete, inaccurate, weakly supported, or not decision-ready</w:t>
            </w:r>
          </w:p>
        </w:tc>
      </w:tr>
      <w:tr w:rsidR="005C0B24" w14:paraId="37F3B908"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F9824F8" w14:textId="77777777" w:rsidR="005C0B24" w:rsidRDefault="00000000">
            <w:r>
              <w:rPr>
                <w:b/>
                <w:bCs/>
                <w:sz w:val="20"/>
                <w:szCs w:val="20"/>
              </w:rPr>
              <w:t>Recommendation &amp; Communication (15%)</w:t>
            </w:r>
          </w:p>
        </w:tc>
        <w:tc>
          <w:tcPr>
            <w:tcW w:w="2000" w:type="dxa"/>
            <w:tcBorders>
              <w:top w:val="single" w:sz="1" w:space="0" w:color="999999"/>
              <w:left w:val="single" w:sz="1" w:space="0" w:color="999999"/>
              <w:bottom w:val="single" w:sz="1" w:space="0" w:color="999999"/>
              <w:right w:val="single" w:sz="1" w:space="0" w:color="999999"/>
            </w:tcBorders>
          </w:tcPr>
          <w:p w14:paraId="4ACF1EAD" w14:textId="77777777" w:rsidR="005C0B24" w:rsidRDefault="00000000">
            <w:r>
              <w:rPr>
                <w:sz w:val="20"/>
                <w:szCs w:val="20"/>
              </w:rPr>
              <w:t>Coherent, proportionate financial recommendation is concise and convincingly defended</w:t>
            </w:r>
          </w:p>
        </w:tc>
        <w:tc>
          <w:tcPr>
            <w:tcW w:w="2000" w:type="dxa"/>
            <w:tcBorders>
              <w:top w:val="single" w:sz="1" w:space="0" w:color="999999"/>
              <w:left w:val="single" w:sz="1" w:space="0" w:color="999999"/>
              <w:bottom w:val="single" w:sz="1" w:space="0" w:color="999999"/>
              <w:right w:val="single" w:sz="1" w:space="0" w:color="999999"/>
            </w:tcBorders>
          </w:tcPr>
          <w:p w14:paraId="06D8B1DC"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422C04B0"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2DBC9D85" w14:textId="77777777" w:rsidR="005C0B24" w:rsidRDefault="00000000">
            <w:r>
              <w:rPr>
                <w:sz w:val="20"/>
                <w:szCs w:val="20"/>
              </w:rPr>
              <w:t>Incomplete, inaccurate, weakly supported, or not decision-ready</w:t>
            </w:r>
          </w:p>
        </w:tc>
      </w:tr>
    </w:tbl>
    <w:p w14:paraId="1C0E26D9" w14:textId="77777777" w:rsidR="005C0B24" w:rsidRDefault="005C0B24"/>
    <w:p w14:paraId="65F51C7C" w14:textId="77777777" w:rsidR="005C0B24" w:rsidRDefault="00000000">
      <w:pPr>
        <w:pageBreakBefore w:val="0"/>
      </w:pPr>
      <w:r/>
    </w:p>
    <w:p w14:paraId="0752B018" w14:textId="77777777" w:rsidR="005C0B24" w:rsidRDefault="00000000">
      <w:pPr>
        <w:pStyle w:val="Heading2"/>
      </w:pPr>
      <w:r>
        <w:t>7.4 Board Capital-Allocation &amp; Financing Memo (Summative Assessment 2) - 15%</w:t>
      </w:r>
    </w:p>
    <w:p w14:paraId="0A3A438B" w14:textId="77777777" w:rsidR="005C0B24" w:rsidRDefault="00000000">
      <w:pPr>
        <w:spacing w:before="80" w:after="60"/>
      </w:pPr>
      <w:r>
        <w:t>Learning Outcomes Addressed: CLO2, CLO3, CLO4</w:t>
      </w:r>
    </w:p>
    <w:p w14:paraId="783DCF29" w14:textId="77777777" w:rsidR="005C0B24" w:rsidRDefault="00000000">
      <w:pPr>
        <w:spacing w:before="60" w:after="60"/>
      </w:pPr>
      <w:r>
        <w:t>Due Date: Week 10</w:t>
      </w:r>
    </w:p>
    <w:p w14:paraId="7641436A" w14:textId="77777777" w:rsidR="005C0B24" w:rsidRDefault="00000000">
      <w:pPr>
        <w:pStyle w:val="Heading3"/>
      </w:pPr>
      <w:r>
        <w:t>Description</w:t>
      </w:r>
    </w:p>
    <w:p w14:paraId="40C42C86" w14:textId="77777777" w:rsidR="005C0B24" w:rsidRDefault="00000000">
      <w:pPr>
        <w:spacing w:before="80" w:after="80"/>
      </w:pPr>
      <w:r>
        <w:t>Students prepare and defend a board memorandum recommending a capital-allocation and financing response to a material strategic and sustainability-related challenge.</w:t>
      </w:r>
    </w:p>
    <w:p w14:paraId="40ECE3A0" w14:textId="77777777" w:rsidR="005C0B24" w:rsidRDefault="00000000">
      <w:pPr>
        <w:pStyle w:val="Heading3"/>
      </w:pPr>
      <w:r>
        <w:t>Assignment Focus</w:t>
      </w:r>
    </w:p>
    <w:p w14:paraId="5AE54DE3" w14:textId="77777777" w:rsidR="005C0B24" w:rsidRDefault="00000000">
      <w:pPr>
        <w:spacing w:before="80" w:after="80"/>
      </w:pPr>
      <w:r>
        <w:t>The memorandum must translate operational and sustainability evidence into financial drivers without unsupported ESG premiums, discounts, or double counting, and must distinguish verified facts, assumptions, estimates, scenarios, values, and managerial judgment.</w:t>
      </w:r>
    </w:p>
    <w:p w14:paraId="29E9D25C" w14:textId="77777777" w:rsidR="005C0B24" w:rsidRDefault="00000000">
      <w:pPr>
        <w:pStyle w:val="Heading3"/>
      </w:pPr>
      <w:r>
        <w:t>Requirements</w:t>
      </w:r>
    </w:p>
    <w:p w14:paraId="0A37E58C" w14:textId="77777777" w:rsidR="005C0B24" w:rsidRDefault="00000000">
      <w:pPr>
        <w:pStyle w:val="ListParagraph"/>
        <w:numPr>
          <w:ilvl w:val="0"/>
          <w:numId w:val="6"/>
        </w:numPr>
        <w:spacing w:before="80" w:after="80"/>
      </w:pPr>
      <w:r>
        <w:t>Decision context, baseline, valuation date, strategic objective, stakeholders, constraints, and success criteria</w:t>
      </w:r>
    </w:p>
    <w:p w14:paraId="1D6DE256" w14:textId="77777777" w:rsidR="005C0B24" w:rsidRDefault="00000000">
      <w:pPr>
        <w:pStyle w:val="ListParagraph"/>
        <w:numPr>
          <w:ilvl w:val="0"/>
          <w:numId w:val="6"/>
        </w:numPr>
        <w:spacing w:before="80" w:after="80"/>
      </w:pPr>
      <w:r>
        <w:t>At least three investment, adaptation, transition, financing, restructuring, or timing alternatives</w:t>
      </w:r>
    </w:p>
    <w:p w14:paraId="1B90B2BE" w14:textId="77777777" w:rsidR="005C0B24" w:rsidRDefault="00000000">
      <w:pPr>
        <w:pStyle w:val="ListParagraph"/>
        <w:numPr>
          <w:ilvl w:val="0"/>
          <w:numId w:val="6"/>
        </w:numPr>
        <w:spacing w:before="80" w:after="80"/>
      </w:pPr>
      <w:r>
        <w:t>Incremental cash flows, NPV or APV, financing capacity, credit and liquidity effects, and enterprise-value implications</w:t>
      </w:r>
    </w:p>
    <w:p w14:paraId="1925F107" w14:textId="77777777" w:rsidR="005C0B24" w:rsidRDefault="00000000">
      <w:pPr>
        <w:pStyle w:val="ListParagraph"/>
        <w:numPr>
          <w:ilvl w:val="0"/>
          <w:numId w:val="6"/>
        </w:numPr>
        <w:spacing w:before="80" w:after="80"/>
      </w:pPr>
      <w:r>
        <w:t>Material climate, nature, resource, workforce, regulatory, transition, and distributional effects where supported by evidence</w:t>
      </w:r>
    </w:p>
    <w:p w14:paraId="5F9C5064" w14:textId="77777777" w:rsidR="005C0B24" w:rsidRDefault="00000000">
      <w:pPr>
        <w:pStyle w:val="ListParagraph"/>
        <w:numPr>
          <w:ilvl w:val="0"/>
          <w:numId w:val="6"/>
        </w:numPr>
        <w:spacing w:before="80" w:after="80"/>
      </w:pPr>
      <w:r>
        <w:t>Scenario, sensitivity, downside, option-value, implementation, governance, and post-investment-review analysis</w:t>
      </w:r>
    </w:p>
    <w:p w14:paraId="0AC4E4AC" w14:textId="77777777" w:rsidR="005C0B24" w:rsidRDefault="00000000">
      <w:pPr>
        <w:pStyle w:val="ListParagraph"/>
        <w:numPr>
          <w:ilvl w:val="0"/>
          <w:numId w:val="6"/>
        </w:numPr>
        <w:spacing w:before="80" w:after="80"/>
      </w:pPr>
      <w:r>
        <w:t>Board recommendation with decision rights, funding, milestones, triggers, safeguards, model record, sources, limitations, and AI Usage Statement</w:t>
      </w:r>
    </w:p>
    <w:p w14:paraId="3E8553E1" w14:textId="77777777" w:rsidR="005C0B24" w:rsidRDefault="00000000">
      <w:pPr>
        <w:spacing w:before="80" w:after="60"/>
      </w:pPr>
      <w:r>
        <w:t>Total Length: 1,800-2,200-word board memorandum plus auditable cash-flow, financing, sustainability-driver, scenario, and valuation exhibits</w:t>
      </w:r>
    </w:p>
    <w:p w14:paraId="1BEFBDD3" w14:textId="77777777" w:rsidR="005C0B24" w:rsidRDefault="00000000">
      <w:pPr>
        <w:spacing w:before="60" w:after="60"/>
      </w:pPr>
      <w:r>
        <w:t>Format: Professional decision memorandum, auditable exhibits, and 5-7 minute individual review; submit through the LMS</w:t>
      </w:r>
    </w:p>
    <w:p w14:paraId="57520E62" w14:textId="77777777" w:rsidR="005C0B24" w:rsidRDefault="005C0B24"/>
    <w:p w14:paraId="01FEB16D" w14:textId="77777777" w:rsidR="005C0B24" w:rsidRDefault="00000000">
      <w:pPr>
        <w:pStyle w:val="Heading3"/>
      </w:pPr>
      <w:r>
        <w:t>Board Capital-Allocation &amp; Financing Memo Rubric</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99"/>
        <w:gridCol w:w="1874"/>
        <w:gridCol w:w="1912"/>
        <w:gridCol w:w="1861"/>
        <w:gridCol w:w="1678"/>
      </w:tblGrid>
      <w:tr w:rsidR="005C0B24" w14:paraId="6730277D"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22E964B0" w14:textId="77777777" w:rsidR="005C0B24" w:rsidRDefault="00000000">
            <w:pPr>
              <w:jc w:val="center"/>
            </w:pPr>
            <w:r>
              <w:rPr>
                <w:b/>
                <w:bCs/>
                <w:color w:val="FFFFFF"/>
                <w:sz w:val="20"/>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6EC86F5B" w14:textId="77777777" w:rsidR="005C0B24" w:rsidRDefault="00000000">
            <w:pPr>
              <w:jc w:val="center"/>
            </w:pPr>
            <w:r>
              <w:rPr>
                <w:b/>
                <w:bCs/>
                <w:color w:val="FFFFFF"/>
                <w:sz w:val="20"/>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A64E87A" w14:textId="77777777" w:rsidR="005C0B24" w:rsidRDefault="00000000">
            <w:pPr>
              <w:jc w:val="center"/>
            </w:pPr>
            <w:r>
              <w:rPr>
                <w:b/>
                <w:bCs/>
                <w:color w:val="FFFFFF"/>
                <w:sz w:val="20"/>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2C3751E2" w14:textId="77777777" w:rsidR="005C0B24" w:rsidRDefault="00000000">
            <w:pPr>
              <w:jc w:val="center"/>
            </w:pPr>
            <w:r>
              <w:rPr>
                <w:b/>
                <w:bCs/>
                <w:color w:val="FFFFFF"/>
                <w:sz w:val="20"/>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614D2277" w14:textId="77777777" w:rsidR="005C0B24" w:rsidRDefault="00000000">
            <w:pPr>
              <w:jc w:val="center"/>
            </w:pPr>
            <w:r>
              <w:rPr>
                <w:b/>
                <w:bCs/>
                <w:color w:val="FFFFFF"/>
                <w:sz w:val="20"/>
                <w:szCs w:val="20"/>
              </w:rPr>
              <w:t>Needs Improvement (1)</w:t>
            </w:r>
          </w:p>
        </w:tc>
      </w:tr>
      <w:tr w:rsidR="005C0B24" w14:paraId="08282996"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D67D4B5" w14:textId="77777777" w:rsidR="005C0B24" w:rsidRDefault="00000000">
            <w:r>
              <w:rPr>
                <w:b/>
                <w:bCs/>
                <w:sz w:val="20"/>
                <w:szCs w:val="20"/>
              </w:rPr>
              <w:t>Decision Context &amp; Alternatives (15%)</w:t>
            </w:r>
          </w:p>
        </w:tc>
        <w:tc>
          <w:tcPr>
            <w:tcW w:w="2000" w:type="dxa"/>
            <w:tcBorders>
              <w:top w:val="single" w:sz="1" w:space="0" w:color="999999"/>
              <w:left w:val="single" w:sz="1" w:space="0" w:color="999999"/>
              <w:bottom w:val="single" w:sz="1" w:space="0" w:color="999999"/>
              <w:right w:val="single" w:sz="1" w:space="0" w:color="999999"/>
            </w:tcBorders>
          </w:tcPr>
          <w:p w14:paraId="5357E59D" w14:textId="77777777" w:rsidR="005C0B24" w:rsidRDefault="00000000">
            <w:r>
              <w:rPr>
                <w:sz w:val="20"/>
                <w:szCs w:val="20"/>
              </w:rPr>
              <w:t>Strategic objective, baseline, constraints, stakeholders, criteria, and distinct alternatives are precise</w:t>
            </w:r>
          </w:p>
        </w:tc>
        <w:tc>
          <w:tcPr>
            <w:tcW w:w="2000" w:type="dxa"/>
            <w:tcBorders>
              <w:top w:val="single" w:sz="1" w:space="0" w:color="999999"/>
              <w:left w:val="single" w:sz="1" w:space="0" w:color="999999"/>
              <w:bottom w:val="single" w:sz="1" w:space="0" w:color="999999"/>
              <w:right w:val="single" w:sz="1" w:space="0" w:color="999999"/>
            </w:tcBorders>
          </w:tcPr>
          <w:p w14:paraId="6E10AB46"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10878435"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39E7AEC2" w14:textId="77777777" w:rsidR="005C0B24" w:rsidRDefault="00000000">
            <w:r>
              <w:rPr>
                <w:sz w:val="20"/>
                <w:szCs w:val="20"/>
              </w:rPr>
              <w:t>Incomplete, inaccurate, weakly supported, or not decision-ready</w:t>
            </w:r>
          </w:p>
        </w:tc>
      </w:tr>
      <w:tr w:rsidR="005C0B24" w14:paraId="16920137"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07D0228F" w14:textId="77777777" w:rsidR="005C0B24" w:rsidRDefault="00000000">
            <w:r>
              <w:rPr>
                <w:b/>
                <w:bCs/>
                <w:sz w:val="20"/>
                <w:szCs w:val="20"/>
              </w:rPr>
              <w:t>Cash Flow, Value &amp; Financing Analysis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6CA6ADD" w14:textId="77777777" w:rsidR="005C0B24" w:rsidRDefault="00000000">
            <w:r>
              <w:rPr>
                <w:sz w:val="20"/>
                <w:szCs w:val="20"/>
              </w:rPr>
              <w:t>Incremental cash flows, NPV/APV, financing capacity, liquidity, credit, and value effects are rigorous</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2E7292DA"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C78849E"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36848FEB" w14:textId="77777777" w:rsidR="005C0B24" w:rsidRDefault="00000000">
            <w:r>
              <w:rPr>
                <w:sz w:val="20"/>
                <w:szCs w:val="20"/>
              </w:rPr>
              <w:t>Incomplete, inaccurate, weakly supported, or not decision-ready</w:t>
            </w:r>
          </w:p>
        </w:tc>
      </w:tr>
      <w:tr w:rsidR="005C0B24" w14:paraId="039D9B9F"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7A456275" w14:textId="77777777" w:rsidR="005C0B24" w:rsidRDefault="00000000">
            <w:r>
              <w:rPr>
                <w:b/>
                <w:bCs/>
                <w:sz w:val="20"/>
                <w:szCs w:val="20"/>
              </w:rPr>
              <w:t>Sustainability Financial Pathways (20%)</w:t>
            </w:r>
          </w:p>
        </w:tc>
        <w:tc>
          <w:tcPr>
            <w:tcW w:w="2000" w:type="dxa"/>
            <w:tcBorders>
              <w:top w:val="single" w:sz="1" w:space="0" w:color="999999"/>
              <w:left w:val="single" w:sz="1" w:space="0" w:color="999999"/>
              <w:bottom w:val="single" w:sz="1" w:space="0" w:color="999999"/>
              <w:right w:val="single" w:sz="1" w:space="0" w:color="999999"/>
            </w:tcBorders>
          </w:tcPr>
          <w:p w14:paraId="52DF2DA5" w14:textId="77777777" w:rsidR="005C0B24" w:rsidRDefault="00000000">
            <w:r>
              <w:rPr>
                <w:sz w:val="20"/>
                <w:szCs w:val="20"/>
              </w:rPr>
              <w:t>Material factors are translated into supported revenue, cost, asset, capital, risk, and financing pathways without double counting</w:t>
            </w:r>
          </w:p>
        </w:tc>
        <w:tc>
          <w:tcPr>
            <w:tcW w:w="2000" w:type="dxa"/>
            <w:tcBorders>
              <w:top w:val="single" w:sz="1" w:space="0" w:color="999999"/>
              <w:left w:val="single" w:sz="1" w:space="0" w:color="999999"/>
              <w:bottom w:val="single" w:sz="1" w:space="0" w:color="999999"/>
              <w:right w:val="single" w:sz="1" w:space="0" w:color="999999"/>
            </w:tcBorders>
          </w:tcPr>
          <w:p w14:paraId="56E6F89E"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75DCB1E4"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2EA178A2" w14:textId="77777777" w:rsidR="005C0B24" w:rsidRDefault="00000000">
            <w:r>
              <w:rPr>
                <w:sz w:val="20"/>
                <w:szCs w:val="20"/>
              </w:rPr>
              <w:t>Incomplete, inaccurate, weakly supported, or not decision-ready</w:t>
            </w:r>
          </w:p>
        </w:tc>
      </w:tr>
      <w:tr w:rsidR="005C0B24" w14:paraId="20CBA59B"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5067E226" w14:textId="77777777" w:rsidR="005C0B24" w:rsidRDefault="00000000">
            <w:r>
              <w:rPr>
                <w:b/>
                <w:bCs/>
                <w:sz w:val="20"/>
                <w:szCs w:val="20"/>
              </w:rPr>
              <w:t>Scenarios, Options &amp; Downside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C5BBF45" w14:textId="77777777" w:rsidR="005C0B24" w:rsidRDefault="00000000">
            <w:r>
              <w:rPr>
                <w:sz w:val="20"/>
                <w:szCs w:val="20"/>
              </w:rPr>
              <w:t>Sensitivities, downside, timing, flexibility, residual risks, and decision triggers are transparent</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26C59063"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0440E309"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4852852B" w14:textId="77777777" w:rsidR="005C0B24" w:rsidRDefault="00000000">
            <w:r>
              <w:rPr>
                <w:sz w:val="20"/>
                <w:szCs w:val="20"/>
              </w:rPr>
              <w:t>Incomplete, inaccurate, weakly supported, or not decision-ready</w:t>
            </w:r>
          </w:p>
        </w:tc>
      </w:tr>
      <w:tr w:rsidR="005C0B24" w14:paraId="24939665"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F9CDCC3" w14:textId="77777777" w:rsidR="005C0B24" w:rsidRDefault="00000000">
            <w:r>
              <w:rPr>
                <w:b/>
                <w:bCs/>
                <w:sz w:val="20"/>
                <w:szCs w:val="20"/>
              </w:rPr>
              <w:t>Recommendation, Governance &amp; Implementation (15%)</w:t>
            </w:r>
          </w:p>
        </w:tc>
        <w:tc>
          <w:tcPr>
            <w:tcW w:w="2000" w:type="dxa"/>
            <w:tcBorders>
              <w:top w:val="single" w:sz="1" w:space="0" w:color="999999"/>
              <w:left w:val="single" w:sz="1" w:space="0" w:color="999999"/>
              <w:bottom w:val="single" w:sz="1" w:space="0" w:color="999999"/>
              <w:right w:val="single" w:sz="1" w:space="0" w:color="999999"/>
            </w:tcBorders>
          </w:tcPr>
          <w:p w14:paraId="7FCDFA2E" w14:textId="77777777" w:rsidR="005C0B24" w:rsidRDefault="00000000">
            <w:r>
              <w:rPr>
                <w:sz w:val="20"/>
                <w:szCs w:val="20"/>
              </w:rPr>
              <w:t>Board decision, funding, owners, controls, milestones, safeguards, and review are actionable</w:t>
            </w:r>
          </w:p>
        </w:tc>
        <w:tc>
          <w:tcPr>
            <w:tcW w:w="2000" w:type="dxa"/>
            <w:tcBorders>
              <w:top w:val="single" w:sz="1" w:space="0" w:color="999999"/>
              <w:left w:val="single" w:sz="1" w:space="0" w:color="999999"/>
              <w:bottom w:val="single" w:sz="1" w:space="0" w:color="999999"/>
              <w:right w:val="single" w:sz="1" w:space="0" w:color="999999"/>
            </w:tcBorders>
          </w:tcPr>
          <w:p w14:paraId="1C03B2A5"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54E92833"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0FB81894" w14:textId="77777777" w:rsidR="005C0B24" w:rsidRDefault="00000000">
            <w:r>
              <w:rPr>
                <w:sz w:val="20"/>
                <w:szCs w:val="20"/>
              </w:rPr>
              <w:t>Incomplete, inaccurate, weakly supported, or not decision-ready</w:t>
            </w:r>
          </w:p>
        </w:tc>
      </w:tr>
      <w:tr w:rsidR="005C0B24" w14:paraId="6AE0D96E"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4CFD761C" w14:textId="77777777" w:rsidR="005C0B24" w:rsidRDefault="00000000">
            <w:r>
              <w:rPr>
                <w:b/>
                <w:bCs/>
                <w:sz w:val="20"/>
                <w:szCs w:val="20"/>
              </w:rPr>
              <w:t>Evidence, Model &amp; AI Transparency (10%)</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2A8ECB6" w14:textId="77777777" w:rsidR="005C0B24" w:rsidRDefault="00000000">
            <w:r>
              <w:rPr>
                <w:sz w:val="20"/>
                <w:szCs w:val="20"/>
              </w:rPr>
              <w:t>Sources, formulas, assumptions, limitations, and AI use are verified and auditable</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58DC21C"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A5C644A"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45806CF5" w14:textId="77777777" w:rsidR="005C0B24" w:rsidRDefault="00000000">
            <w:r>
              <w:rPr>
                <w:sz w:val="20"/>
                <w:szCs w:val="20"/>
              </w:rPr>
              <w:t>Incomplete, inaccurate, weakly supported, or not decision-ready</w:t>
            </w:r>
          </w:p>
        </w:tc>
      </w:tr>
    </w:tbl>
    <w:p w14:paraId="4F02366A" w14:textId="77777777" w:rsidR="005C0B24" w:rsidRDefault="005C0B24">
      <w:pPr>
        <w:pageBreakBefore w:val="0"/>
      </w:pPr>
    </w:p>
    <w:p w14:paraId="22EE5840" w14:textId="77777777" w:rsidR="005C0B24" w:rsidRDefault="00000000">
      <w:pPr>
        <w:pageBreakBefore w:val="0"/>
      </w:pPr>
      <w:r/>
    </w:p>
    <w:p w14:paraId="2CBC5DA0" w14:textId="77777777" w:rsidR="005C0B24" w:rsidRDefault="00000000">
      <w:pPr>
        <w:pStyle w:val="Heading1"/>
      </w:pPr>
      <w:r>
        <w:t>8. Final Project: Integrated Corporate Valuation &amp; Value-Creation Plan (Summative Assessment 3) - 40%</w:t>
      </w:r>
    </w:p>
    <w:p w14:paraId="51609CD0" w14:textId="77777777" w:rsidR="005C0B24" w:rsidRDefault="00000000">
      <w:pPr>
        <w:spacing w:before="80" w:after="60"/>
      </w:pPr>
      <w:r>
        <w:t>Learning Outcomes Addressed: All course learning outcomes (CLO1-CLO5)</w:t>
      </w:r>
    </w:p>
    <w:p w14:paraId="026CC1AA" w14:textId="77777777" w:rsidR="005C0B24" w:rsidRDefault="005C0B24"/>
    <w:p w14:paraId="214E5207" w14:textId="77777777" w:rsidR="005C0B24" w:rsidRDefault="00000000">
      <w:pPr>
        <w:pStyle w:val="Heading2"/>
      </w:pPr>
      <w:r>
        <w:t>8.1 Project Overview</w:t>
      </w:r>
    </w:p>
    <w:p w14:paraId="54ADA405" w14:textId="77777777" w:rsidR="005C0B24" w:rsidRDefault="00000000">
      <w:pPr>
        <w:spacing w:before="80" w:after="80"/>
      </w:pPr>
      <w:r>
        <w:t>The final project is the signature assessment of Corporate Finance and Business Valuation. Students develop and defend an auditable valuation and value-creation plan that connects operating strategy, capital allocation, financing, sustainability factors, governance, and implementation.</w:t>
      </w:r>
    </w:p>
    <w:p w14:paraId="247A3D9E" w14:textId="77777777" w:rsidR="005C0B24" w:rsidRDefault="005C0B24"/>
    <w:p w14:paraId="009A9C29" w14:textId="77777777" w:rsidR="005C0B24" w:rsidRDefault="00000000">
      <w:pPr>
        <w:pStyle w:val="Heading2"/>
      </w:pPr>
      <w:r>
        <w:t>8.2 Project Scope</w:t>
      </w:r>
    </w:p>
    <w:p w14:paraId="4665887E" w14:textId="77777777" w:rsidR="005C0B24" w:rsidRDefault="00000000">
      <w:pPr>
        <w:spacing w:before="80" w:after="80"/>
      </w:pPr>
      <w:r>
        <w:t>Each student selects an approved listed company, business unit, strategic transaction, or instructor-provided case for which lawful, non-confidential, and sufficiently reliable financial, market, operational, and sustainability-related evidence is available.</w:t>
      </w:r>
    </w:p>
    <w:p w14:paraId="40321B12" w14:textId="77777777" w:rsidR="005C0B24" w:rsidRDefault="005C0B24"/>
    <w:p w14:paraId="5D4569EA" w14:textId="77777777" w:rsidR="005C0B24" w:rsidRDefault="00000000">
      <w:pPr>
        <w:pStyle w:val="Heading2"/>
      </w:pPr>
      <w:r>
        <w:t>8.3 Deliverables</w:t>
      </w:r>
    </w:p>
    <w:p w14:paraId="4AFD10D2" w14:textId="77777777" w:rsidR="005C0B24" w:rsidRDefault="00000000">
      <w:pPr>
        <w:pStyle w:val="Heading3"/>
      </w:pPr>
      <w:r>
        <w:t>Integrated Corporate Valuation and Value-Creation Report (3,500-4,500 words, excluding appendices)</w:t>
      </w:r>
    </w:p>
    <w:p w14:paraId="697B27D2" w14:textId="77777777" w:rsidR="005C0B24" w:rsidRDefault="00000000">
      <w:pPr>
        <w:pStyle w:val="ListParagraph"/>
        <w:numPr>
          <w:ilvl w:val="0"/>
          <w:numId w:val="7"/>
        </w:numPr>
        <w:spacing w:before="80" w:after="80"/>
      </w:pPr>
      <w:r>
        <w:t>Executive Board Brief: valuation range, value-creation thesis, capital decisions, financing, risks, sustainability implications, decisions requested, and limitations</w:t>
      </w:r>
    </w:p>
    <w:p w14:paraId="34B393D5" w14:textId="77777777" w:rsidR="005C0B24" w:rsidRDefault="00000000">
      <w:pPr>
        <w:pStyle w:val="ListParagraph"/>
        <w:numPr>
          <w:ilvl w:val="0"/>
          <w:numId w:val="7"/>
        </w:numPr>
        <w:spacing w:before="80" w:after="80"/>
      </w:pPr>
      <w:r>
        <w:t>Historical and Strategic Diagnosis: normalized financials, value drivers, competitive and operating context, invested capital, return on invested capital, growth, margins, reinvestment, and free cash flow</w:t>
      </w:r>
    </w:p>
    <w:p w14:paraId="683B2579" w14:textId="77777777" w:rsidR="005C0B24" w:rsidRDefault="00000000">
      <w:pPr>
        <w:pStyle w:val="ListParagraph"/>
        <w:numPr>
          <w:ilvl w:val="0"/>
          <w:numId w:val="7"/>
        </w:numPr>
        <w:spacing w:before="80" w:after="80"/>
      </w:pPr>
      <w:r>
        <w:t>Forecast and Cost-of-Capital Model: integrated operating cases, financing assumptions, cash flows, discount rates, source links, formula controls, and model checks</w:t>
      </w:r>
    </w:p>
    <w:p w14:paraId="40197DA8" w14:textId="77777777" w:rsidR="005C0B24" w:rsidRDefault="00000000">
      <w:pPr>
        <w:pStyle w:val="ListParagraph"/>
        <w:numPr>
          <w:ilvl w:val="0"/>
          <w:numId w:val="7"/>
        </w:numPr>
        <w:spacing w:before="80" w:after="80"/>
      </w:pPr>
      <w:r>
        <w:t>Valuation Analysis: enterprise DCF, equity bridge, relative valuation, and at least one additional appropriate method with reconciliation and explanation of method differences</w:t>
      </w:r>
    </w:p>
    <w:p w14:paraId="2CF662AF" w14:textId="77777777" w:rsidR="005C0B24" w:rsidRDefault="00000000">
      <w:pPr>
        <w:pStyle w:val="ListParagraph"/>
        <w:numPr>
          <w:ilvl w:val="0"/>
          <w:numId w:val="7"/>
        </w:numPr>
        <w:spacing w:before="80" w:after="80"/>
      </w:pPr>
      <w:r>
        <w:t>Sustainability and Resilience Analysis: material financial pathways, scenarios, capital needs, financing effects, stakeholder consequences, safeguards, and unsupported or immaterial items excluded</w:t>
      </w:r>
    </w:p>
    <w:p w14:paraId="0334A673" w14:textId="77777777" w:rsidR="005C0B24" w:rsidRDefault="00000000">
      <w:pPr>
        <w:pStyle w:val="ListParagraph"/>
        <w:numPr>
          <w:ilvl w:val="0"/>
          <w:numId w:val="7"/>
        </w:numPr>
        <w:spacing w:before="80" w:after="80"/>
      </w:pPr>
      <w:r>
        <w:t>Capital-Allocation and Financing Plan: investment, divestment, transaction, payout, liquidity, capital-structure, and sequencing recommendations with value and risk implications</w:t>
      </w:r>
    </w:p>
    <w:p w14:paraId="15E23936" w14:textId="77777777" w:rsidR="005C0B24" w:rsidRDefault="00000000">
      <w:pPr>
        <w:pStyle w:val="ListParagraph"/>
        <w:numPr>
          <w:ilvl w:val="0"/>
          <w:numId w:val="7"/>
        </w:numPr>
        <w:spacing w:before="80" w:after="80"/>
      </w:pPr>
      <w:r>
        <w:t>Governance and Implementation: owners, decision rights, milestones, resources, incentives, controls, triggers, post-investment review, value-realization indicators, and adaptation</w:t>
      </w:r>
    </w:p>
    <w:p w14:paraId="22B97F46" w14:textId="77777777" w:rsidR="005C0B24" w:rsidRDefault="00000000">
      <w:pPr>
        <w:pStyle w:val="ListParagraph"/>
        <w:numPr>
          <w:ilvl w:val="0"/>
          <w:numId w:val="7"/>
        </w:numPr>
        <w:spacing w:before="80" w:after="80"/>
      </w:pPr>
      <w:r>
        <w:t>Evidence and AI Record: dated sources, data provenance, reproducible calculations, assumptions, scenarios, sensitivities, limitations, independent judgment, reflection, and disclosure</w:t>
      </w:r>
    </w:p>
    <w:p w14:paraId="415462D1" w14:textId="77777777" w:rsidR="005C0B24" w:rsidRDefault="005C0B24"/>
    <w:p w14:paraId="5D5FC337" w14:textId="77777777" w:rsidR="005C0B24" w:rsidRDefault="00000000">
      <w:pPr>
        <w:pStyle w:val="Heading3"/>
      </w:pPr>
      <w:r>
        <w:t>Executive Presentation and Individual Oral Defence (12-15 minutes plus 5-10 minutes for questions)</w:t>
      </w:r>
    </w:p>
    <w:p w14:paraId="3DD10646" w14:textId="77777777" w:rsidR="005C0B24" w:rsidRDefault="00000000">
      <w:pPr>
        <w:pStyle w:val="ListParagraph"/>
        <w:numPr>
          <w:ilvl w:val="0"/>
          <w:numId w:val="3"/>
        </w:numPr>
        <w:spacing w:before="80" w:after="80"/>
      </w:pPr>
      <w:r>
        <w:t>Present during the Week 14 synchronous session</w:t>
      </w:r>
    </w:p>
    <w:p w14:paraId="16EA777C" w14:textId="77777777" w:rsidR="005C0B24" w:rsidRDefault="00000000">
      <w:pPr>
        <w:pStyle w:val="ListParagraph"/>
        <w:numPr>
          <w:ilvl w:val="0"/>
          <w:numId w:val="3"/>
        </w:numPr>
        <w:spacing w:before="80" w:after="80"/>
      </w:pPr>
      <w:r>
        <w:t>10-12 slides or equivalent board-ready visual narrative supported by forecast, valuation, capital-allocation, financing, sustainability-driver, scenario, and implementation evidence</w:t>
      </w:r>
    </w:p>
    <w:p w14:paraId="3BF69189" w14:textId="77777777" w:rsidR="005C0B24" w:rsidRDefault="00000000">
      <w:pPr>
        <w:pStyle w:val="ListParagraph"/>
        <w:numPr>
          <w:ilvl w:val="0"/>
          <w:numId w:val="3"/>
        </w:numPr>
        <w:spacing w:before="80" w:after="80"/>
      </w:pPr>
      <w:r>
        <w:t>Respond to questions about sources, formulas, assumptions, discount rates, methods, scenarios, sustainability pathways, recommendation, governance, implementation, and limitations</w:t>
      </w:r>
    </w:p>
    <w:p w14:paraId="7D3A052A" w14:textId="77777777" w:rsidR="005C0B24" w:rsidRDefault="00000000">
      <w:pPr>
        <w:pStyle w:val="ListParagraph"/>
        <w:numPr>
          <w:ilvl w:val="0"/>
          <w:numId w:val="3"/>
        </w:numPr>
        <w:spacing w:before="80" w:after="80"/>
      </w:pPr>
      <w:r>
        <w:t>Professional, accessible, and interculturally responsive communication with transparent attribution and independent graduate mastery</w:t>
      </w:r>
    </w:p>
    <w:p w14:paraId="35E518A4" w14:textId="77777777" w:rsidR="005C0B24" w:rsidRDefault="005C0B24"/>
    <w:p w14:paraId="30EF1323" w14:textId="77777777" w:rsidR="005C0B24" w:rsidRDefault="00000000">
      <w:pPr>
        <w:pStyle w:val="Heading2"/>
      </w:pPr>
      <w:r>
        <w:t>8.4 Project Timeline &amp; Milestones</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25"/>
        <w:gridCol w:w="2701"/>
        <w:gridCol w:w="2136"/>
        <w:gridCol w:w="2462"/>
      </w:tblGrid>
      <w:tr w:rsidR="005C0B24" w14:paraId="627E67E4" w14:textId="77777777">
        <w:tblPrEx>
          <w:tblCellMar>
            <w:top w:w="0" w:type="dxa"/>
            <w:bottom w:w="0" w:type="dxa"/>
          </w:tblCellMar>
        </w:tblPrEx>
        <w:trPr>
          <w:tblHeader w:val="true"/>
          <w:cantSplit w:val="true"/>
        </w:trPr>
        <w:tc>
          <w:tcPr>
            <w:tcW w:w="1800" w:type="dxa"/>
            <w:tcBorders>
              <w:top w:val="single" w:sz="1" w:space="0" w:color="999999"/>
              <w:left w:val="single" w:sz="1" w:space="0" w:color="999999"/>
              <w:bottom w:val="single" w:sz="1" w:space="0" w:color="999999"/>
              <w:right w:val="single" w:sz="1" w:space="0" w:color="999999"/>
            </w:tcBorders>
            <w:shd w:val="clear" w:color="auto" w:fill="1F4E79"/>
          </w:tcPr>
          <w:p w14:paraId="5EBDEB19" w14:textId="77777777" w:rsidR="005C0B24" w:rsidRDefault="00000000">
            <w:pPr>
              <w:jc w:val="center"/>
            </w:pPr>
            <w:r>
              <w:rPr>
                <w:b/>
                <w:bCs/>
                <w:color w:val="FFFFFF"/>
                <w:sz w:val="20"/>
                <w:szCs w:val="20"/>
              </w:rPr>
              <w:t>Week</w:t>
            </w:r>
          </w:p>
        </w:tc>
        <w:tc>
          <w:tcPr>
            <w:tcW w:w="2800" w:type="dxa"/>
            <w:tcBorders>
              <w:top w:val="single" w:sz="1" w:space="0" w:color="999999"/>
              <w:left w:val="single" w:sz="1" w:space="0" w:color="999999"/>
              <w:bottom w:val="single" w:sz="1" w:space="0" w:color="999999"/>
              <w:right w:val="single" w:sz="1" w:space="0" w:color="999999"/>
            </w:tcBorders>
            <w:shd w:val="clear" w:color="auto" w:fill="1F4E79"/>
          </w:tcPr>
          <w:p w14:paraId="36F0FF91" w14:textId="77777777" w:rsidR="005C0B24" w:rsidRDefault="00000000">
            <w:pPr>
              <w:jc w:val="center"/>
            </w:pPr>
            <w:r>
              <w:rPr>
                <w:b/>
                <w:bCs/>
                <w:color w:val="FFFFFF"/>
                <w:sz w:val="20"/>
                <w:szCs w:val="20"/>
              </w:rPr>
              <w:t>Milestone</w:t>
            </w:r>
          </w:p>
        </w:tc>
        <w:tc>
          <w:tcPr>
            <w:tcW w:w="2200" w:type="dxa"/>
            <w:tcBorders>
              <w:top w:val="single" w:sz="1" w:space="0" w:color="999999"/>
              <w:left w:val="single" w:sz="1" w:space="0" w:color="999999"/>
              <w:bottom w:val="single" w:sz="1" w:space="0" w:color="999999"/>
              <w:right w:val="single" w:sz="1" w:space="0" w:color="999999"/>
            </w:tcBorders>
            <w:shd w:val="clear" w:color="auto" w:fill="1F4E79"/>
          </w:tcPr>
          <w:p w14:paraId="56891D37" w14:textId="77777777" w:rsidR="005C0B24" w:rsidRDefault="00000000">
            <w:pPr>
              <w:jc w:val="center"/>
            </w:pPr>
            <w:r>
              <w:rPr>
                <w:b/>
                <w:bCs/>
                <w:color w:val="FFFFFF"/>
                <w:sz w:val="20"/>
                <w:szCs w:val="20"/>
              </w:rPr>
              <w:t>Deliverable</w:t>
            </w:r>
          </w:p>
        </w:tc>
        <w:tc>
          <w:tcPr>
            <w:tcW w:w="2560" w:type="dxa"/>
            <w:tcBorders>
              <w:top w:val="single" w:sz="1" w:space="0" w:color="999999"/>
              <w:left w:val="single" w:sz="1" w:space="0" w:color="999999"/>
              <w:bottom w:val="single" w:sz="1" w:space="0" w:color="999999"/>
              <w:right w:val="single" w:sz="1" w:space="0" w:color="999999"/>
            </w:tcBorders>
            <w:shd w:val="clear" w:color="auto" w:fill="1F4E79"/>
          </w:tcPr>
          <w:p w14:paraId="6532A204" w14:textId="77777777" w:rsidR="005C0B24" w:rsidRDefault="00000000">
            <w:pPr>
              <w:jc w:val="center"/>
            </w:pPr>
            <w:r>
              <w:rPr>
                <w:b/>
                <w:bCs/>
                <w:color w:val="FFFFFF"/>
                <w:sz w:val="20"/>
                <w:szCs w:val="20"/>
              </w:rPr>
              <w:t>Weight</w:t>
            </w:r>
          </w:p>
        </w:tc>
      </w:tr>
      <w:tr w:rsidR="005C0B24" w14:paraId="46D83F18" w14:textId="77777777">
        <w:tblPrEx>
          <w:tblCellMar>
            <w:top w:w="0" w:type="dxa"/>
            <w:bottom w:w="0" w:type="dxa"/>
          </w:tblCellMar>
        </w:tblPrEx>
        <w:trPr>
          <w:cantSplit w:val="true"/>
        </w:trPr>
        <w:tc>
          <w:tcPr>
            <w:tcW w:w="1800" w:type="dxa"/>
            <w:tcBorders>
              <w:top w:val="single" w:sz="1" w:space="0" w:color="999999"/>
              <w:left w:val="single" w:sz="1" w:space="0" w:color="999999"/>
              <w:bottom w:val="single" w:sz="1" w:space="0" w:color="999999"/>
              <w:right w:val="single" w:sz="1" w:space="0" w:color="999999"/>
            </w:tcBorders>
          </w:tcPr>
          <w:p w14:paraId="26647A02" w14:textId="77777777" w:rsidR="005C0B24" w:rsidRDefault="00000000">
            <w:pPr>
              <w:jc w:val="center"/>
            </w:pPr>
            <w:r>
              <w:rPr>
                <w:sz w:val="20"/>
                <w:szCs w:val="20"/>
              </w:rPr>
              <w:t>Week 9</w:t>
            </w:r>
          </w:p>
        </w:tc>
        <w:tc>
          <w:tcPr>
            <w:tcW w:w="2800" w:type="dxa"/>
            <w:tcBorders>
              <w:top w:val="single" w:sz="1" w:space="0" w:color="999999"/>
              <w:left w:val="single" w:sz="1" w:space="0" w:color="999999"/>
              <w:bottom w:val="single" w:sz="1" w:space="0" w:color="999999"/>
              <w:right w:val="single" w:sz="1" w:space="0" w:color="999999"/>
            </w:tcBorders>
          </w:tcPr>
          <w:p w14:paraId="77A972F1" w14:textId="77777777" w:rsidR="005C0B24" w:rsidRDefault="00000000">
            <w:r>
              <w:rPr>
                <w:sz w:val="20"/>
                <w:szCs w:val="20"/>
              </w:rPr>
              <w:t>Scope and Evidence Gate</w:t>
            </w:r>
          </w:p>
        </w:tc>
        <w:tc>
          <w:tcPr>
            <w:tcW w:w="2200" w:type="dxa"/>
            <w:tcBorders>
              <w:top w:val="single" w:sz="1" w:space="0" w:color="999999"/>
              <w:left w:val="single" w:sz="1" w:space="0" w:color="999999"/>
              <w:bottom w:val="single" w:sz="1" w:space="0" w:color="999999"/>
              <w:right w:val="single" w:sz="1" w:space="0" w:color="999999"/>
            </w:tcBorders>
          </w:tcPr>
          <w:p w14:paraId="3AAB8E0C" w14:textId="77777777" w:rsidR="005C0B24" w:rsidRDefault="00000000">
            <w:r>
              <w:rPr>
                <w:sz w:val="20"/>
                <w:szCs w:val="20"/>
              </w:rPr>
              <w:t>Approved company/case, valuation date, decision scope, source hierarchy, historical normalization, and evidence plan</w:t>
            </w:r>
          </w:p>
        </w:tc>
        <w:tc>
          <w:tcPr>
            <w:tcW w:w="2560" w:type="dxa"/>
            <w:tcBorders>
              <w:top w:val="single" w:sz="1" w:space="0" w:color="999999"/>
              <w:left w:val="single" w:sz="1" w:space="0" w:color="999999"/>
              <w:bottom w:val="single" w:sz="1" w:space="0" w:color="999999"/>
              <w:right w:val="single" w:sz="1" w:space="0" w:color="999999"/>
            </w:tcBorders>
          </w:tcPr>
          <w:p w14:paraId="62753DFF" w14:textId="77777777" w:rsidR="005C0B24" w:rsidRDefault="00000000">
            <w:pPr>
              <w:jc w:val="center"/>
            </w:pPr>
            <w:r>
              <w:rPr>
                <w:sz w:val="20"/>
                <w:szCs w:val="20"/>
              </w:rPr>
              <w:t>Formative feedback</w:t>
            </w:r>
          </w:p>
        </w:tc>
      </w:tr>
      <w:tr w:rsidR="005C0B24" w14:paraId="7EA05CEE" w14:textId="77777777">
        <w:tblPrEx>
          <w:tblCellMar>
            <w:top w:w="0" w:type="dxa"/>
            <w:bottom w:w="0" w:type="dxa"/>
          </w:tblCellMar>
        </w:tblPrEx>
        <w:trPr>
          <w:cantSplit w:val="true"/>
        </w:trPr>
        <w:tc>
          <w:tcPr>
            <w:tcW w:w="1800" w:type="dxa"/>
            <w:tcBorders>
              <w:top w:val="single" w:sz="1" w:space="0" w:color="999999"/>
              <w:left w:val="single" w:sz="1" w:space="0" w:color="999999"/>
              <w:bottom w:val="single" w:sz="1" w:space="0" w:color="999999"/>
              <w:right w:val="single" w:sz="1" w:space="0" w:color="999999"/>
            </w:tcBorders>
            <w:shd w:val="clear" w:color="auto" w:fill="F2F2F2"/>
          </w:tcPr>
          <w:p w14:paraId="70F9654A" w14:textId="77777777" w:rsidR="005C0B24" w:rsidRDefault="00000000">
            <w:pPr>
              <w:jc w:val="center"/>
            </w:pPr>
            <w:r>
              <w:rPr>
                <w:sz w:val="20"/>
                <w:szCs w:val="20"/>
              </w:rPr>
              <w:t>Week 12</w:t>
            </w:r>
          </w:p>
        </w:tc>
        <w:tc>
          <w:tcPr>
            <w:tcW w:w="2800" w:type="dxa"/>
            <w:tcBorders>
              <w:top w:val="single" w:sz="1" w:space="0" w:color="999999"/>
              <w:left w:val="single" w:sz="1" w:space="0" w:color="999999"/>
              <w:bottom w:val="single" w:sz="1" w:space="0" w:color="999999"/>
              <w:right w:val="single" w:sz="1" w:space="0" w:color="999999"/>
            </w:tcBorders>
            <w:shd w:val="clear" w:color="auto" w:fill="F2F2F2"/>
          </w:tcPr>
          <w:p w14:paraId="2AAFC577" w14:textId="77777777" w:rsidR="005C0B24" w:rsidRDefault="00000000">
            <w:r>
              <w:rPr>
                <w:sz w:val="20"/>
                <w:szCs w:val="20"/>
              </w:rPr>
              <w:t>Integrated Design Gate</w:t>
            </w:r>
          </w:p>
        </w:tc>
        <w:tc>
          <w:tcPr>
            <w:tcW w:w="2200" w:type="dxa"/>
            <w:tcBorders>
              <w:top w:val="single" w:sz="1" w:space="0" w:color="999999"/>
              <w:left w:val="single" w:sz="1" w:space="0" w:color="999999"/>
              <w:bottom w:val="single" w:sz="1" w:space="0" w:color="999999"/>
              <w:right w:val="single" w:sz="1" w:space="0" w:color="999999"/>
            </w:tcBorders>
            <w:shd w:val="clear" w:color="auto" w:fill="F2F2F2"/>
          </w:tcPr>
          <w:p w14:paraId="34372A31" w14:textId="77777777" w:rsidR="005C0B24" w:rsidRDefault="00000000">
            <w:r>
              <w:rPr>
                <w:sz w:val="20"/>
                <w:szCs w:val="20"/>
              </w:rPr>
              <w:t>Integrated forecast, cost of capital, DCF, relative valuation, sustainability-driver scenarios, and capital-allocation thesis</w:t>
            </w:r>
          </w:p>
        </w:tc>
        <w:tc>
          <w:tcPr>
            <w:tcW w:w="2560" w:type="dxa"/>
            <w:tcBorders>
              <w:top w:val="single" w:sz="1" w:space="0" w:color="999999"/>
              <w:left w:val="single" w:sz="1" w:space="0" w:color="999999"/>
              <w:bottom w:val="single" w:sz="1" w:space="0" w:color="999999"/>
              <w:right w:val="single" w:sz="1" w:space="0" w:color="999999"/>
            </w:tcBorders>
            <w:shd w:val="clear" w:color="auto" w:fill="F2F2F2"/>
          </w:tcPr>
          <w:p w14:paraId="435A69F9" w14:textId="77777777" w:rsidR="005C0B24" w:rsidRDefault="00000000">
            <w:pPr>
              <w:jc w:val="center"/>
            </w:pPr>
            <w:r>
              <w:rPr>
                <w:sz w:val="20"/>
                <w:szCs w:val="20"/>
              </w:rPr>
              <w:t>Peer/instructor review</w:t>
            </w:r>
          </w:p>
        </w:tc>
      </w:tr>
      <w:tr w:rsidR="005C0B24" w14:paraId="7C5CBF55" w14:textId="77777777">
        <w:tblPrEx>
          <w:tblCellMar>
            <w:top w:w="0" w:type="dxa"/>
            <w:bottom w:w="0" w:type="dxa"/>
          </w:tblCellMar>
        </w:tblPrEx>
        <w:trPr>
          <w:cantSplit w:val="true"/>
        </w:trPr>
        <w:tc>
          <w:tcPr>
            <w:tcW w:w="1800" w:type="dxa"/>
            <w:tcBorders>
              <w:top w:val="single" w:sz="1" w:space="0" w:color="999999"/>
              <w:left w:val="single" w:sz="1" w:space="0" w:color="999999"/>
              <w:bottom w:val="single" w:sz="1" w:space="0" w:color="999999"/>
              <w:right w:val="single" w:sz="1" w:space="0" w:color="999999"/>
            </w:tcBorders>
          </w:tcPr>
          <w:p w14:paraId="691A10BE" w14:textId="77777777" w:rsidR="005C0B24" w:rsidRDefault="00000000">
            <w:pPr>
              <w:jc w:val="center"/>
            </w:pPr>
            <w:r>
              <w:rPr>
                <w:sz w:val="20"/>
                <w:szCs w:val="20"/>
              </w:rPr>
              <w:t>Week 13</w:t>
            </w:r>
          </w:p>
        </w:tc>
        <w:tc>
          <w:tcPr>
            <w:tcW w:w="2800" w:type="dxa"/>
            <w:tcBorders>
              <w:top w:val="single" w:sz="1" w:space="0" w:color="999999"/>
              <w:left w:val="single" w:sz="1" w:space="0" w:color="999999"/>
              <w:bottom w:val="single" w:sz="1" w:space="0" w:color="999999"/>
              <w:right w:val="single" w:sz="1" w:space="0" w:color="999999"/>
            </w:tcBorders>
          </w:tcPr>
          <w:p w14:paraId="280133A6" w14:textId="77777777" w:rsidR="005C0B24" w:rsidRDefault="00000000">
            <w:r>
              <w:rPr>
                <w:sz w:val="20"/>
                <w:szCs w:val="20"/>
              </w:rPr>
              <w:t>Complete Draft and Challenge</w:t>
            </w:r>
          </w:p>
        </w:tc>
        <w:tc>
          <w:tcPr>
            <w:tcW w:w="2200" w:type="dxa"/>
            <w:tcBorders>
              <w:top w:val="single" w:sz="1" w:space="0" w:color="999999"/>
              <w:left w:val="single" w:sz="1" w:space="0" w:color="999999"/>
              <w:bottom w:val="single" w:sz="1" w:space="0" w:color="999999"/>
              <w:right w:val="single" w:sz="1" w:space="0" w:color="999999"/>
            </w:tcBorders>
          </w:tcPr>
          <w:p w14:paraId="51272CFD" w14:textId="77777777" w:rsidR="005C0B24" w:rsidRDefault="00000000">
            <w:r>
              <w:rPr>
                <w:sz w:val="20"/>
                <w:szCs w:val="20"/>
              </w:rPr>
              <w:t>Complete report, auditable model, value-creation roadmap, board presentation, reflection, and AI record</w:t>
            </w:r>
          </w:p>
        </w:tc>
        <w:tc>
          <w:tcPr>
            <w:tcW w:w="2560" w:type="dxa"/>
            <w:tcBorders>
              <w:top w:val="single" w:sz="1" w:space="0" w:color="999999"/>
              <w:left w:val="single" w:sz="1" w:space="0" w:color="999999"/>
              <w:bottom w:val="single" w:sz="1" w:space="0" w:color="999999"/>
              <w:right w:val="single" w:sz="1" w:space="0" w:color="999999"/>
            </w:tcBorders>
          </w:tcPr>
          <w:p w14:paraId="66F5BCE6" w14:textId="77777777" w:rsidR="005C0B24" w:rsidRDefault="00000000">
            <w:pPr>
              <w:jc w:val="center"/>
            </w:pPr>
            <w:r>
              <w:rPr>
                <w:sz w:val="20"/>
                <w:szCs w:val="20"/>
              </w:rPr>
              <w:t>Instructor feedback</w:t>
            </w:r>
          </w:p>
        </w:tc>
      </w:tr>
      <w:tr w:rsidR="005C0B24" w14:paraId="42968C67" w14:textId="77777777">
        <w:tblPrEx>
          <w:tblCellMar>
            <w:top w:w="0" w:type="dxa"/>
            <w:bottom w:w="0" w:type="dxa"/>
          </w:tblCellMar>
        </w:tblPrEx>
        <w:trPr>
          <w:cantSplit w:val="true"/>
        </w:trPr>
        <w:tc>
          <w:tcPr>
            <w:tcW w:w="1800" w:type="dxa"/>
            <w:tcBorders>
              <w:top w:val="single" w:sz="1" w:space="0" w:color="999999"/>
              <w:left w:val="single" w:sz="1" w:space="0" w:color="999999"/>
              <w:bottom w:val="single" w:sz="1" w:space="0" w:color="999999"/>
              <w:right w:val="single" w:sz="1" w:space="0" w:color="999999"/>
            </w:tcBorders>
            <w:shd w:val="clear" w:color="auto" w:fill="F2F2F2"/>
          </w:tcPr>
          <w:p w14:paraId="0D2522C8" w14:textId="77777777" w:rsidR="005C0B24" w:rsidRDefault="00000000">
            <w:pPr>
              <w:jc w:val="center"/>
            </w:pPr>
            <w:r>
              <w:rPr>
                <w:sz w:val="20"/>
                <w:szCs w:val="20"/>
              </w:rPr>
              <w:t>Week 14</w:t>
            </w:r>
          </w:p>
        </w:tc>
        <w:tc>
          <w:tcPr>
            <w:tcW w:w="2800" w:type="dxa"/>
            <w:tcBorders>
              <w:top w:val="single" w:sz="1" w:space="0" w:color="999999"/>
              <w:left w:val="single" w:sz="1" w:space="0" w:color="999999"/>
              <w:bottom w:val="single" w:sz="1" w:space="0" w:color="999999"/>
              <w:right w:val="single" w:sz="1" w:space="0" w:color="999999"/>
            </w:tcBorders>
            <w:shd w:val="clear" w:color="auto" w:fill="F2F2F2"/>
          </w:tcPr>
          <w:p w14:paraId="64B412B8" w14:textId="77777777" w:rsidR="005C0B24" w:rsidRDefault="00000000">
            <w:r>
              <w:rPr>
                <w:sz w:val="20"/>
                <w:szCs w:val="20"/>
              </w:rPr>
              <w:t>Final Presentation and Defence</w:t>
            </w:r>
          </w:p>
        </w:tc>
        <w:tc>
          <w:tcPr>
            <w:tcW w:w="2200" w:type="dxa"/>
            <w:tcBorders>
              <w:top w:val="single" w:sz="1" w:space="0" w:color="999999"/>
              <w:left w:val="single" w:sz="1" w:space="0" w:color="999999"/>
              <w:bottom w:val="single" w:sz="1" w:space="0" w:color="999999"/>
              <w:right w:val="single" w:sz="1" w:space="0" w:color="999999"/>
            </w:tcBorders>
            <w:shd w:val="clear" w:color="auto" w:fill="F2F2F2"/>
          </w:tcPr>
          <w:p w14:paraId="6B3F024B" w14:textId="77777777" w:rsidR="005C0B24" w:rsidRDefault="00000000">
            <w:r>
              <w:rPr>
                <w:sz w:val="20"/>
                <w:szCs w:val="20"/>
              </w:rPr>
              <w:t>Final report, model, evidence portfolio, executive presentation, and individual defence</w:t>
            </w:r>
          </w:p>
        </w:tc>
        <w:tc>
          <w:tcPr>
            <w:tcW w:w="2560" w:type="dxa"/>
            <w:tcBorders>
              <w:top w:val="single" w:sz="1" w:space="0" w:color="999999"/>
              <w:left w:val="single" w:sz="1" w:space="0" w:color="999999"/>
              <w:bottom w:val="single" w:sz="1" w:space="0" w:color="999999"/>
              <w:right w:val="single" w:sz="1" w:space="0" w:color="999999"/>
            </w:tcBorders>
            <w:shd w:val="clear" w:color="auto" w:fill="F2F2F2"/>
          </w:tcPr>
          <w:p w14:paraId="6B47F533" w14:textId="77777777" w:rsidR="005C0B24" w:rsidRDefault="00000000">
            <w:pPr>
              <w:jc w:val="center"/>
            </w:pPr>
            <w:r>
              <w:rPr>
                <w:sz w:val="20"/>
                <w:szCs w:val="20"/>
              </w:rPr>
              <w:t>40% of final grade</w:t>
            </w:r>
          </w:p>
        </w:tc>
      </w:tr>
    </w:tbl>
    <w:p w14:paraId="24953465" w14:textId="77777777" w:rsidR="005C0B24" w:rsidRDefault="005C0B24"/>
    <w:p w14:paraId="0B07CC87" w14:textId="77777777" w:rsidR="005C0B24" w:rsidRDefault="00000000">
      <w:pPr>
        <w:pageBreakBefore w:val="0"/>
      </w:pPr>
      <w:r/>
    </w:p>
    <w:p w14:paraId="453E159C" w14:textId="77777777" w:rsidR="005C0B24" w:rsidRDefault="00000000">
      <w:pPr>
        <w:pStyle w:val="Heading2"/>
      </w:pPr>
      <w:r>
        <w:t>8.5 Final Project Grading Rubric</w:t>
      </w:r>
    </w:p>
    <w:p w14:paraId="79CFCED8" w14:textId="77777777" w:rsidR="005C0B24" w:rsidRDefault="00000000">
      <w:pPr>
        <w:pStyle w:val="Heading3"/>
      </w:pPr>
      <w:r>
        <w:t>Integrated Corporate Valuation &amp; Value-Creation Plan Written/Applied Portfolio (70% of Final Project Grade)</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43"/>
        <w:gridCol w:w="1894"/>
        <w:gridCol w:w="1892"/>
        <w:gridCol w:w="1894"/>
        <w:gridCol w:w="1701"/>
      </w:tblGrid>
      <w:tr w:rsidR="005C0B24" w14:paraId="2879C52D"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343F381E" w14:textId="77777777" w:rsidR="005C0B24" w:rsidRDefault="00000000">
            <w:pPr>
              <w:jc w:val="center"/>
            </w:pPr>
            <w:r>
              <w:rPr>
                <w:b/>
                <w:bCs/>
                <w:color w:val="FFFFFF"/>
                <w:sz w:val="17"/>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7858B647" w14:textId="77777777" w:rsidR="005C0B24" w:rsidRDefault="00000000">
            <w:pPr>
              <w:jc w:val="center"/>
            </w:pPr>
            <w:r>
              <w:rPr>
                <w:b/>
                <w:bCs/>
                <w:color w:val="FFFFFF"/>
                <w:sz w:val="17"/>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7E55CAC2" w14:textId="77777777" w:rsidR="005C0B24" w:rsidRDefault="00000000">
            <w:pPr>
              <w:jc w:val="center"/>
            </w:pPr>
            <w:r>
              <w:rPr>
                <w:b/>
                <w:bCs/>
                <w:color w:val="FFFFFF"/>
                <w:sz w:val="17"/>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3C50762E" w14:textId="77777777" w:rsidR="005C0B24" w:rsidRDefault="00000000">
            <w:pPr>
              <w:jc w:val="center"/>
            </w:pPr>
            <w:r>
              <w:rPr>
                <w:b/>
                <w:bCs/>
                <w:color w:val="FFFFFF"/>
                <w:sz w:val="17"/>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75D2865E" w14:textId="77777777" w:rsidR="005C0B24" w:rsidRDefault="00000000">
            <w:pPr>
              <w:jc w:val="center"/>
            </w:pPr>
            <w:r>
              <w:rPr>
                <w:b/>
                <w:bCs/>
                <w:color w:val="FFFFFF"/>
                <w:sz w:val="17"/>
                <w:szCs w:val="20"/>
              </w:rPr>
              <w:t>Needs Improvement (1)</w:t>
            </w:r>
          </w:p>
        </w:tc>
      </w:tr>
      <w:tr w:rsidR="005C0B24" w14:paraId="266AE8C3"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628E2118" w14:textId="77777777" w:rsidR="005C0B24" w:rsidRDefault="00000000">
            <w:r>
              <w:rPr>
                <w:b/>
                <w:bCs/>
                <w:sz w:val="17"/>
                <w:szCs w:val="20"/>
              </w:rPr>
              <w:t>Scope, Evidence &amp; Corporate Diagnosis (15%)</w:t>
            </w:r>
          </w:p>
        </w:tc>
        <w:tc>
          <w:tcPr>
            <w:tcW w:w="2000" w:type="dxa"/>
            <w:tcBorders>
              <w:top w:val="single" w:sz="1" w:space="0" w:color="999999"/>
              <w:left w:val="single" w:sz="1" w:space="0" w:color="999999"/>
              <w:bottom w:val="single" w:sz="1" w:space="0" w:color="999999"/>
              <w:right w:val="single" w:sz="1" w:space="0" w:color="999999"/>
            </w:tcBorders>
          </w:tcPr>
          <w:p w14:paraId="01987615" w14:textId="77777777" w:rsidR="005C0B24" w:rsidRDefault="00000000">
            <w:r>
              <w:rPr>
                <w:sz w:val="17"/>
                <w:szCs w:val="20"/>
              </w:rPr>
              <w:t>Decision-ready scope and triangulated evidence connect strategy, operations, financial history, value drivers, and competitive context</w:t>
            </w:r>
          </w:p>
        </w:tc>
        <w:tc>
          <w:tcPr>
            <w:tcW w:w="2000" w:type="dxa"/>
            <w:tcBorders>
              <w:top w:val="single" w:sz="1" w:space="0" w:color="999999"/>
              <w:left w:val="single" w:sz="1" w:space="0" w:color="999999"/>
              <w:bottom w:val="single" w:sz="1" w:space="0" w:color="999999"/>
              <w:right w:val="single" w:sz="1" w:space="0" w:color="999999"/>
            </w:tcBorders>
          </w:tcPr>
          <w:p w14:paraId="50F6A75E"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217FB3A4"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3B1B6E80" w14:textId="77777777" w:rsidR="005C0B24" w:rsidRDefault="00000000">
            <w:r>
              <w:rPr>
                <w:sz w:val="17"/>
                <w:szCs w:val="20"/>
              </w:rPr>
              <w:t>Incomplete, inaccurate, weakly supported, or not decision-ready</w:t>
            </w:r>
          </w:p>
        </w:tc>
      </w:tr>
      <w:tr w:rsidR="005C0B24" w14:paraId="5E13B276"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6E704685" w14:textId="77777777" w:rsidR="005C0B24" w:rsidRDefault="00000000">
            <w:r>
              <w:rPr>
                <w:b/>
                <w:bCs/>
                <w:sz w:val="17"/>
                <w:szCs w:val="20"/>
              </w:rPr>
              <w:t>Forecast, Free Cash Flow &amp; Cost of Capital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44E59AB" w14:textId="77777777" w:rsidR="005C0B24" w:rsidRDefault="00000000">
            <w:r>
              <w:rPr>
                <w:sz w:val="17"/>
                <w:szCs w:val="20"/>
              </w:rPr>
              <w:t>Integrated forecasts, cash flows, discount rates, currency, country, leverage, tax, and model checks are compelling</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2CD2F0FB"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3738A54"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728E7461" w14:textId="77777777" w:rsidR="005C0B24" w:rsidRDefault="00000000">
            <w:r>
              <w:rPr>
                <w:sz w:val="17"/>
                <w:szCs w:val="20"/>
              </w:rPr>
              <w:t>Incomplete, inaccurate, weakly supported, or not decision-ready</w:t>
            </w:r>
          </w:p>
        </w:tc>
      </w:tr>
      <w:tr w:rsidR="005C0B24" w14:paraId="479A9871"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4B23135" w14:textId="77777777" w:rsidR="005C0B24" w:rsidRDefault="00000000">
            <w:r>
              <w:rPr>
                <w:b/>
                <w:bCs/>
                <w:sz w:val="17"/>
                <w:szCs w:val="20"/>
              </w:rPr>
              <w:t>Valuation Methods &amp; Reconciliation (15%)</w:t>
            </w:r>
          </w:p>
        </w:tc>
        <w:tc>
          <w:tcPr>
            <w:tcW w:w="2000" w:type="dxa"/>
            <w:tcBorders>
              <w:top w:val="single" w:sz="1" w:space="0" w:color="999999"/>
              <w:left w:val="single" w:sz="1" w:space="0" w:color="999999"/>
              <w:bottom w:val="single" w:sz="1" w:space="0" w:color="999999"/>
              <w:right w:val="single" w:sz="1" w:space="0" w:color="999999"/>
            </w:tcBorders>
          </w:tcPr>
          <w:p w14:paraId="33169E03" w14:textId="77777777" w:rsidR="005C0B24" w:rsidRDefault="00000000">
            <w:r>
              <w:rPr>
                <w:sz w:val="17"/>
                <w:szCs w:val="20"/>
              </w:rPr>
              <w:t>DCF, relative, additional method, enterprise-to-equity bridge, and method differences support a defensible value range</w:t>
            </w:r>
          </w:p>
        </w:tc>
        <w:tc>
          <w:tcPr>
            <w:tcW w:w="2000" w:type="dxa"/>
            <w:tcBorders>
              <w:top w:val="single" w:sz="1" w:space="0" w:color="999999"/>
              <w:left w:val="single" w:sz="1" w:space="0" w:color="999999"/>
              <w:bottom w:val="single" w:sz="1" w:space="0" w:color="999999"/>
              <w:right w:val="single" w:sz="1" w:space="0" w:color="999999"/>
            </w:tcBorders>
          </w:tcPr>
          <w:p w14:paraId="05B8B82D"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1A7E5D15"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7CC5B416" w14:textId="77777777" w:rsidR="005C0B24" w:rsidRDefault="00000000">
            <w:r>
              <w:rPr>
                <w:sz w:val="17"/>
                <w:szCs w:val="20"/>
              </w:rPr>
              <w:t>Incomplete, inaccurate, weakly supported, or not decision-ready</w:t>
            </w:r>
            <w:proofErr w:type="gramStart"/>
            <w:r>
              <w:rPr>
                <w:sz w:val="17"/>
                <w:szCs w:val="20"/>
              </w:rPr>
            </w:r>
            <w:proofErr w:type="gramEnd"/>
            <w:r>
              <w:rPr>
                <w:sz w:val="17"/>
                <w:szCs w:val="20"/>
              </w:rPr>
            </w:r>
          </w:p>
        </w:tc>
      </w:tr>
      <w:tr w:rsidR="005C0B24" w14:paraId="632B720D"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10D708FC" w14:textId="77777777" w:rsidR="005C0B24" w:rsidRDefault="00000000">
            <w:r>
              <w:rPr>
                <w:b/>
                <w:bCs/>
                <w:sz w:val="17"/>
                <w:szCs w:val="20"/>
              </w:rPr>
              <w:t>Sustainability, Resilience &amp; Stakeholder Effects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24806E89" w14:textId="77777777" w:rsidR="005C0B24" w:rsidRDefault="00000000">
            <w:r>
              <w:rPr>
                <w:sz w:val="17"/>
                <w:szCs w:val="20"/>
              </w:rPr>
              <w:t>Material pathways, scenarios, capital needs, financing, resilience, safeguards, and affected groups are financially and ethically integrated</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E1D4014"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33035F3"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1B92A0B1" w14:textId="77777777" w:rsidR="005C0B24" w:rsidRDefault="00000000">
            <w:r>
              <w:rPr>
                <w:sz w:val="17"/>
                <w:szCs w:val="20"/>
              </w:rPr>
              <w:t>Incomplete, inaccurate, weakly supported, or not decision-ready</w:t>
            </w:r>
          </w:p>
        </w:tc>
      </w:tr>
      <w:tr w:rsidR="005C0B24" w14:paraId="12A6AEBA"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14C34F11" w14:textId="77777777" w:rsidR="005C0B24" w:rsidRDefault="00000000">
            <w:r>
              <w:rPr>
                <w:b/>
                <w:bCs/>
                <w:sz w:val="17"/>
                <w:szCs w:val="20"/>
              </w:rPr>
              <w:t>Capital Allocation, Financing &amp; Value Creation (15%)</w:t>
            </w:r>
          </w:p>
        </w:tc>
        <w:tc>
          <w:tcPr>
            <w:tcW w:w="2000" w:type="dxa"/>
            <w:tcBorders>
              <w:top w:val="single" w:sz="1" w:space="0" w:color="999999"/>
              <w:left w:val="single" w:sz="1" w:space="0" w:color="999999"/>
              <w:bottom w:val="single" w:sz="1" w:space="0" w:color="999999"/>
              <w:right w:val="single" w:sz="1" w:space="0" w:color="999999"/>
            </w:tcBorders>
          </w:tcPr>
          <w:p w14:paraId="23BCF9B2" w14:textId="77777777" w:rsidR="005C0B24" w:rsidRDefault="00000000">
            <w:r>
              <w:rPr>
                <w:sz w:val="17"/>
                <w:szCs w:val="20"/>
              </w:rPr>
              <w:t>Investment, transaction, divestment, payout, liquidity, structure, and sequencing choices are coherent and value grounded</w:t>
            </w:r>
          </w:p>
        </w:tc>
        <w:tc>
          <w:tcPr>
            <w:tcW w:w="2000" w:type="dxa"/>
            <w:tcBorders>
              <w:top w:val="single" w:sz="1" w:space="0" w:color="999999"/>
              <w:left w:val="single" w:sz="1" w:space="0" w:color="999999"/>
              <w:bottom w:val="single" w:sz="1" w:space="0" w:color="999999"/>
              <w:right w:val="single" w:sz="1" w:space="0" w:color="999999"/>
            </w:tcBorders>
          </w:tcPr>
          <w:p w14:paraId="23C3F62F"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2FC83EB8"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301AE3EC" w14:textId="77777777" w:rsidR="005C0B24" w:rsidRDefault="00000000">
            <w:r>
              <w:rPr>
                <w:sz w:val="17"/>
                <w:szCs w:val="20"/>
              </w:rPr>
              <w:t>Incomplete, inaccurate, weakly supported, or not decision-ready</w:t>
            </w:r>
          </w:p>
        </w:tc>
      </w:tr>
      <w:tr w:rsidR="005C0B24" w14:paraId="387A04E9"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1F89CED1" w14:textId="77777777" w:rsidR="005C0B24" w:rsidRDefault="00000000">
            <w:r>
              <w:rPr>
                <w:b/>
                <w:bCs/>
                <w:sz w:val="17"/>
                <w:szCs w:val="20"/>
              </w:rPr>
              <w:t>Governance, Implementation &amp; Review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04CFF914" w14:textId="77777777" w:rsidR="005C0B24" w:rsidRDefault="00000000">
            <w:r>
              <w:rPr>
                <w:sz w:val="17"/>
                <w:szCs w:val="20"/>
              </w:rPr>
              <w:t>Owners, decision rights, resources, controls, milestones, triggers, indicators, and post-investment review are actionable</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9931CE1"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BC7A872"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15960CE9" w14:textId="77777777" w:rsidR="005C0B24" w:rsidRDefault="00000000">
            <w:r>
              <w:rPr>
                <w:sz w:val="17"/>
                <w:szCs w:val="20"/>
              </w:rPr>
              <w:t>Incomplete, inaccurate, weakly supported, or not decision-ready</w:t>
            </w:r>
          </w:p>
        </w:tc>
      </w:tr>
      <w:tr w:rsidR="005C0B24" w14:paraId="2CBCBB84"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C1B3650" w14:textId="77777777" w:rsidR="005C0B24" w:rsidRDefault="00000000">
            <w:r>
              <w:rPr>
                <w:b/>
                <w:bCs/>
                <w:sz w:val="17"/>
                <w:szCs w:val="20"/>
              </w:rPr>
              <w:t>Evidence, Model, Limitations, AI &amp; Professional Quality (10%)</w:t>
            </w:r>
          </w:p>
        </w:tc>
        <w:tc>
          <w:tcPr>
            <w:tcW w:w="2000" w:type="dxa"/>
            <w:tcBorders>
              <w:top w:val="single" w:sz="1" w:space="0" w:color="999999"/>
              <w:left w:val="single" w:sz="1" w:space="0" w:color="999999"/>
              <w:bottom w:val="single" w:sz="1" w:space="0" w:color="999999"/>
              <w:right w:val="single" w:sz="1" w:space="0" w:color="999999"/>
            </w:tcBorders>
          </w:tcPr>
          <w:p w14:paraId="7AFF6277" w14:textId="77777777" w:rsidR="005C0B24" w:rsidRDefault="00000000">
            <w:r>
              <w:rPr>
                <w:sz w:val="17"/>
                <w:szCs w:val="20"/>
              </w:rPr>
              <w:t>Executive-ready, current, reproducible, calibrated, accessible, safe, and transparently disclosed</w:t>
            </w:r>
          </w:p>
        </w:tc>
        <w:tc>
          <w:tcPr>
            <w:tcW w:w="2000" w:type="dxa"/>
            <w:tcBorders>
              <w:top w:val="single" w:sz="1" w:space="0" w:color="999999"/>
              <w:left w:val="single" w:sz="1" w:space="0" w:color="999999"/>
              <w:bottom w:val="single" w:sz="1" w:space="0" w:color="999999"/>
              <w:right w:val="single" w:sz="1" w:space="0" w:color="999999"/>
            </w:tcBorders>
          </w:tcPr>
          <w:p w14:paraId="32717368"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45652024"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538EEA3B" w14:textId="77777777" w:rsidR="005C0B24" w:rsidRDefault="00000000">
            <w:r>
              <w:rPr>
                <w:sz w:val="17"/>
                <w:szCs w:val="20"/>
              </w:rPr>
              <w:t>Incomplete, inaccurate, weakly supported, or not decision-ready</w:t>
            </w:r>
          </w:p>
        </w:tc>
      </w:tr>
    </w:tbl>
    <w:p w14:paraId="5F7287E0" w14:textId="77777777" w:rsidR="005C0B24" w:rsidRDefault="005C0B24"/>
    <w:p w14:paraId="47D37CCF" w14:textId="77777777" w:rsidR="005C0B24" w:rsidRDefault="00000000">
      <w:pPr>
        <w:pStyle w:val="Heading3"/>
      </w:pPr>
      <w:r>
        <w:t>Executive Presentation and Individual Oral Defence (30% of Final Project Grade)</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31"/>
        <w:gridCol w:w="1923"/>
        <w:gridCol w:w="1937"/>
        <w:gridCol w:w="1910"/>
        <w:gridCol w:w="1723"/>
      </w:tblGrid>
      <w:tr w:rsidR="005C0B24" w14:paraId="0D3B5136"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1767E246" w14:textId="77777777" w:rsidR="005C0B24" w:rsidRDefault="00000000">
            <w:pPr>
              <w:jc w:val="center"/>
            </w:pPr>
            <w:r>
              <w:rPr>
                <w:b/>
                <w:bCs/>
                <w:color w:val="FFFFFF"/>
                <w:sz w:val="20"/>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07605F71" w14:textId="77777777" w:rsidR="005C0B24" w:rsidRDefault="00000000">
            <w:pPr>
              <w:jc w:val="center"/>
            </w:pPr>
            <w:r>
              <w:rPr>
                <w:b/>
                <w:bCs/>
                <w:color w:val="FFFFFF"/>
                <w:sz w:val="20"/>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73A1485" w14:textId="77777777" w:rsidR="005C0B24" w:rsidRDefault="00000000">
            <w:pPr>
              <w:jc w:val="center"/>
            </w:pPr>
            <w:r>
              <w:rPr>
                <w:b/>
                <w:bCs/>
                <w:color w:val="FFFFFF"/>
                <w:sz w:val="20"/>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2A31FB13" w14:textId="77777777" w:rsidR="005C0B24" w:rsidRDefault="00000000">
            <w:pPr>
              <w:jc w:val="center"/>
            </w:pPr>
            <w:r>
              <w:rPr>
                <w:b/>
                <w:bCs/>
                <w:color w:val="FFFFFF"/>
                <w:sz w:val="20"/>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5A79C9B0" w14:textId="77777777" w:rsidR="005C0B24" w:rsidRDefault="00000000">
            <w:pPr>
              <w:jc w:val="center"/>
            </w:pPr>
            <w:r>
              <w:rPr>
                <w:b/>
                <w:bCs/>
                <w:color w:val="FFFFFF"/>
                <w:sz w:val="20"/>
                <w:szCs w:val="20"/>
              </w:rPr>
              <w:t>Needs Improvement (1)</w:t>
            </w:r>
          </w:p>
        </w:tc>
      </w:tr>
      <w:tr w:rsidR="005C0B24" w14:paraId="10F17FAE"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7A74A27" w14:textId="77777777" w:rsidR="005C0B24" w:rsidRDefault="00000000">
            <w:r>
              <w:rPr>
                <w:b/>
                <w:bCs/>
                <w:sz w:val="20"/>
                <w:szCs w:val="20"/>
              </w:rPr>
              <w:t>Financial and Strategic Narrative (30%)</w:t>
            </w:r>
          </w:p>
        </w:tc>
        <w:tc>
          <w:tcPr>
            <w:tcW w:w="2000" w:type="dxa"/>
            <w:tcBorders>
              <w:top w:val="single" w:sz="1" w:space="0" w:color="999999"/>
              <w:left w:val="single" w:sz="1" w:space="0" w:color="999999"/>
              <w:bottom w:val="single" w:sz="1" w:space="0" w:color="999999"/>
              <w:right w:val="single" w:sz="1" w:space="0" w:color="999999"/>
            </w:tcBorders>
          </w:tcPr>
          <w:p w14:paraId="27D4833A" w14:textId="77777777" w:rsidR="005C0B24" w:rsidRDefault="00000000">
            <w:r>
              <w:rPr>
                <w:sz w:val="20"/>
                <w:szCs w:val="20"/>
              </w:rPr>
              <w:t>Compelling narrative connects diagnosis, forecast, valuation, capital decisions, sustainability, and value realization</w:t>
            </w:r>
          </w:p>
        </w:tc>
        <w:tc>
          <w:tcPr>
            <w:tcW w:w="2000" w:type="dxa"/>
            <w:tcBorders>
              <w:top w:val="single" w:sz="1" w:space="0" w:color="999999"/>
              <w:left w:val="single" w:sz="1" w:space="0" w:color="999999"/>
              <w:bottom w:val="single" w:sz="1" w:space="0" w:color="999999"/>
              <w:right w:val="single" w:sz="1" w:space="0" w:color="999999"/>
            </w:tcBorders>
          </w:tcPr>
          <w:p w14:paraId="1EBAFF5F"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06E394F0"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63D58238" w14:textId="77777777" w:rsidR="005C0B24" w:rsidRDefault="00000000">
            <w:r>
              <w:rPr>
                <w:sz w:val="20"/>
                <w:szCs w:val="20"/>
              </w:rPr>
              <w:t>Incomplete, inaccurate, weakly supported, or not decision-ready</w:t>
            </w:r>
          </w:p>
        </w:tc>
      </w:tr>
      <w:tr w:rsidR="005C0B24" w14:paraId="7D940447"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1BBBE7D1" w14:textId="77777777" w:rsidR="005C0B24" w:rsidRDefault="00000000">
            <w:r>
              <w:rPr>
                <w:b/>
                <w:bCs/>
                <w:sz w:val="20"/>
                <w:szCs w:val="20"/>
              </w:rPr>
              <w:t>Analytical &amp; Decision Visuals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2B8F9D8" w14:textId="77777777" w:rsidR="005C0B24" w:rsidRDefault="00000000">
            <w:r>
              <w:rPr>
                <w:sz w:val="20"/>
                <w:szCs w:val="20"/>
              </w:rPr>
              <w:t>Accurate, accessible visuals make cash flows, value range, scenarios, financing, risks, and roadmap understandable</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D55A0CB"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90676F8"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480EDF29" w14:textId="77777777" w:rsidR="005C0B24" w:rsidRDefault="00000000">
            <w:r>
              <w:rPr>
                <w:sz w:val="20"/>
                <w:szCs w:val="20"/>
              </w:rPr>
              <w:t>Incomplete, inaccurate, weakly supported, or not decision-ready</w:t>
            </w:r>
          </w:p>
        </w:tc>
      </w:tr>
      <w:tr w:rsidR="005C0B24" w14:paraId="401D78DB"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2751693" w14:textId="77777777" w:rsidR="005C0B24" w:rsidRDefault="00000000">
            <w:r>
              <w:rPr>
                <w:b/>
                <w:bCs/>
                <w:sz w:val="20"/>
                <w:szCs w:val="20"/>
              </w:rPr>
              <w:t>Executive &amp; Intercultural Presence (20%)</w:t>
            </w:r>
          </w:p>
        </w:tc>
        <w:tc>
          <w:tcPr>
            <w:tcW w:w="2000" w:type="dxa"/>
            <w:tcBorders>
              <w:top w:val="single" w:sz="1" w:space="0" w:color="999999"/>
              <w:left w:val="single" w:sz="1" w:space="0" w:color="999999"/>
              <w:bottom w:val="single" w:sz="1" w:space="0" w:color="999999"/>
              <w:right w:val="single" w:sz="1" w:space="0" w:color="999999"/>
            </w:tcBorders>
          </w:tcPr>
          <w:p w14:paraId="50EFC5C4" w14:textId="77777777" w:rsidR="005C0B24" w:rsidRDefault="00000000">
            <w:r>
              <w:rPr>
                <w:sz w:val="20"/>
                <w:szCs w:val="20"/>
              </w:rPr>
              <w:t>Confident, concise, accessible, and responsive to diverse board and stakeholder perspectives</w:t>
            </w:r>
          </w:p>
        </w:tc>
        <w:tc>
          <w:tcPr>
            <w:tcW w:w="2000" w:type="dxa"/>
            <w:tcBorders>
              <w:top w:val="single" w:sz="1" w:space="0" w:color="999999"/>
              <w:left w:val="single" w:sz="1" w:space="0" w:color="999999"/>
              <w:bottom w:val="single" w:sz="1" w:space="0" w:color="999999"/>
              <w:right w:val="single" w:sz="1" w:space="0" w:color="999999"/>
            </w:tcBorders>
          </w:tcPr>
          <w:p w14:paraId="1982CB2B"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49B8F7BA"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580482DF" w14:textId="77777777" w:rsidR="005C0B24" w:rsidRDefault="00000000">
            <w:r>
              <w:rPr>
                <w:sz w:val="20"/>
                <w:szCs w:val="20"/>
              </w:rPr>
              <w:t>Incomplete, inaccurate, weakly supported, or not decision-ready</w:t>
            </w:r>
          </w:p>
        </w:tc>
      </w:tr>
      <w:tr w:rsidR="005C0B24" w14:paraId="0E8B7F55"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45B24D37" w14:textId="77777777" w:rsidR="005C0B24" w:rsidRDefault="00000000">
            <w:r>
              <w:rPr>
                <w:b/>
                <w:bCs/>
                <w:sz w:val="20"/>
                <w:szCs w:val="20"/>
              </w:rPr>
              <w:t>Oral Defence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44900C8" w14:textId="77777777" w:rsidR="005C0B24" w:rsidRDefault="00000000">
            <w:r>
              <w:rPr>
                <w:sz w:val="20"/>
                <w:szCs w:val="20"/>
              </w:rPr>
              <w:t>Responses demonstrate independent mastery of evidence, formulas, assumptions, methods, finance, sustainability pathways, implementation, and limits</w:t>
            </w:r>
            <w:proofErr w:type="gramStart"/>
            <w:r>
              <w:rPr>
                <w:sz w:val="20"/>
                <w:szCs w:val="20"/>
              </w:rPr>
            </w:r>
            <w:proofErr w:type="gramEnd"/>
            <w:r>
              <w:rPr>
                <w:sz w:val="20"/>
                <w:szCs w:val="20"/>
              </w:rPr>
            </w:r>
            <w:proofErr w:type="gramStart"/>
            <w:r>
              <w:rPr>
                <w:sz w:val="20"/>
                <w:szCs w:val="20"/>
              </w:rPr>
            </w:r>
            <w:proofErr w:type="gramEnd"/>
            <w:r>
              <w:rPr>
                <w:sz w:val="20"/>
                <w:szCs w:val="20"/>
              </w:rPr>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FAFF5A3"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C6F4727"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5409944F" w14:textId="77777777" w:rsidR="005C0B24" w:rsidRDefault="00000000">
            <w:r>
              <w:rPr>
                <w:sz w:val="20"/>
                <w:szCs w:val="20"/>
              </w:rPr>
              <w:t>Incomplete, inaccurate, weakly supported, or not decision-ready</w:t>
            </w:r>
          </w:p>
        </w:tc>
      </w:tr>
    </w:tbl>
    <w:p w14:paraId="18A0912F" w14:textId="77777777" w:rsidR="005C0B24" w:rsidRDefault="005C0B24"/>
    <w:p w14:paraId="62EE7F7B" w14:textId="77777777" w:rsidR="005C0B24" w:rsidRDefault="00000000">
      <w:pPr>
        <w:pageBreakBefore w:val="0"/>
      </w:pPr>
      <w:r/>
    </w:p>
    <w:p w14:paraId="729D6F7E" w14:textId="77777777" w:rsidR="005C0B24" w:rsidRDefault="00000000">
      <w:pPr>
        <w:pStyle w:val="Heading1"/>
      </w:pPr>
      <w:r>
        <w:t>9. Course Learning Outcomes and Assessment Alignment</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32"/>
        <w:gridCol w:w="1411"/>
        <w:gridCol w:w="1411"/>
        <w:gridCol w:w="1411"/>
        <w:gridCol w:w="1411"/>
        <w:gridCol w:w="1411"/>
      </w:tblGrid>
      <w:tr w:rsidR="005C0B24" w14:paraId="60AD693A" w14:textId="77777777">
        <w:tblPrEx>
          <w:tblCellMar>
            <w:top w:w="0" w:type="dxa"/>
            <w:bottom w:w="0" w:type="dxa"/>
          </w:tblCellMar>
        </w:tblPrEx>
        <w:trPr>
          <w:tblHeader w:val="true"/>
          <w:cantSplit w:val="true"/>
        </w:trPr>
        <w:tc>
          <w:tcPr>
            <w:tcW w:w="2232" w:type="dxa"/>
            <w:tcBorders>
              <w:top w:val="single" w:sz="1" w:space="0" w:color="999999"/>
              <w:left w:val="single" w:sz="1" w:space="0" w:color="999999"/>
              <w:bottom w:val="single" w:sz="1" w:space="0" w:color="999999"/>
              <w:right w:val="single" w:sz="1" w:space="0" w:color="999999"/>
            </w:tcBorders>
            <w:shd w:val="clear" w:color="auto" w:fill="1F4E79"/>
          </w:tcPr>
          <w:p w14:paraId="1CCB1E80" w14:textId="77777777" w:rsidR="005C0B24" w:rsidRDefault="00000000">
            <w:pPr>
              <w:jc w:val="center"/>
            </w:pPr>
            <w:r>
              <w:rPr>
                <w:b/>
                <w:bCs/>
                <w:color w:val="FFFFFF"/>
                <w:sz w:val="20"/>
                <w:szCs w:val="20"/>
              </w:rPr>
              <w:t>CLO / Assessment</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375DD35E" w14:textId="77777777" w:rsidR="005C0B24" w:rsidRDefault="00000000">
            <w:pPr>
              <w:jc w:val="center"/>
            </w:pPr>
            <w:r>
              <w:rPr>
                <w:b/>
                <w:bCs/>
                <w:color w:val="FFFFFF"/>
                <w:sz w:val="20"/>
                <w:szCs w:val="20"/>
              </w:rPr>
              <w:t>Labs</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25827FD6" w14:textId="77777777" w:rsidR="005C0B24" w:rsidRDefault="00000000">
            <w:pPr>
              <w:jc w:val="center"/>
            </w:pPr>
            <w:r>
              <w:rPr>
                <w:b/>
                <w:bCs/>
                <w:color w:val="FFFFFF"/>
                <w:sz w:val="20"/>
                <w:szCs w:val="20"/>
              </w:rPr>
              <w:t>Diagnostic</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1A6F018C" w14:textId="77777777" w:rsidR="005C0B24" w:rsidRDefault="00000000">
            <w:pPr>
              <w:jc w:val="center"/>
            </w:pPr>
            <w:r>
              <w:rPr>
                <w:b/>
                <w:bCs/>
                <w:color w:val="FFFFFF"/>
                <w:sz w:val="20"/>
                <w:szCs w:val="20"/>
              </w:rPr>
              <w:t>Midterm</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2F9B124E" w14:textId="77777777" w:rsidR="005C0B24" w:rsidRDefault="00000000">
            <w:pPr>
              <w:jc w:val="center"/>
            </w:pPr>
            <w:r>
              <w:rPr>
                <w:b/>
                <w:bCs/>
                <w:color w:val="FFFFFF"/>
                <w:sz w:val="20"/>
                <w:szCs w:val="20"/>
              </w:rPr>
              <w:t>Exercise</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6B1A07E2" w14:textId="77777777" w:rsidR="005C0B24" w:rsidRDefault="00000000">
            <w:pPr>
              <w:jc w:val="center"/>
            </w:pPr>
            <w:r>
              <w:rPr>
                <w:b/>
                <w:bCs/>
                <w:color w:val="FFFFFF"/>
                <w:sz w:val="20"/>
                <w:szCs w:val="20"/>
              </w:rPr>
              <w:t>Final Project</w:t>
            </w:r>
          </w:p>
        </w:tc>
      </w:tr>
      <w:tr w:rsidR="005C0B24" w14:paraId="2E789C4D"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tcPr>
          <w:p w14:paraId="77AAC749" w14:textId="77777777" w:rsidR="005C0B24" w:rsidRDefault="00000000">
            <w:r>
              <w:rPr>
                <w:b/>
                <w:bCs/>
                <w:sz w:val="20"/>
                <w:szCs w:val="20"/>
              </w:rPr>
              <w:t>CLO1</w:t>
            </w:r>
          </w:p>
        </w:tc>
        <w:tc>
          <w:tcPr>
            <w:tcW w:w="1411" w:type="dxa"/>
            <w:tcBorders>
              <w:top w:val="single" w:sz="1" w:space="0" w:color="999999"/>
              <w:left w:val="single" w:sz="1" w:space="0" w:color="999999"/>
              <w:bottom w:val="single" w:sz="1" w:space="0" w:color="999999"/>
              <w:right w:val="single" w:sz="1" w:space="0" w:color="999999"/>
            </w:tcBorders>
          </w:tcPr>
          <w:p w14:paraId="6DAC26F7"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005FBDDB"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7403323A"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tcPr>
          <w:p w14:paraId="39AAD9B4"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6A6E8F34" w14:textId="77777777" w:rsidR="005C0B24" w:rsidRDefault="00000000">
            <w:pPr>
              <w:jc w:val="center"/>
            </w:pPr>
            <w:r>
              <w:rPr>
                <w:sz w:val="20"/>
                <w:szCs w:val="20"/>
              </w:rPr>
              <w:t>✓✓</w:t>
            </w:r>
          </w:p>
        </w:tc>
      </w:tr>
      <w:tr w:rsidR="005C0B24" w14:paraId="172FD943"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shd w:val="clear" w:color="auto" w:fill="F2F2F2"/>
          </w:tcPr>
          <w:p w14:paraId="64110AB7" w14:textId="77777777" w:rsidR="005C0B24" w:rsidRDefault="00000000">
            <w:r>
              <w:rPr>
                <w:b/>
                <w:bCs/>
                <w:sz w:val="20"/>
                <w:szCs w:val="20"/>
              </w:rPr>
              <w:t>CLO2</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7CD4F906"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116266A0"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0707BCF4"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4EE8924A"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4B40FCD2" w14:textId="77777777" w:rsidR="005C0B24" w:rsidRDefault="00000000">
            <w:pPr>
              <w:jc w:val="center"/>
            </w:pPr>
            <w:r>
              <w:rPr>
                <w:sz w:val="20"/>
                <w:szCs w:val="20"/>
              </w:rPr>
              <w:t>✓✓</w:t>
            </w:r>
          </w:p>
        </w:tc>
      </w:tr>
      <w:tr w:rsidR="005C0B24" w14:paraId="2D7B810B"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tcPr>
          <w:p w14:paraId="21AE9212" w14:textId="77777777" w:rsidR="005C0B24" w:rsidRDefault="00000000">
            <w:r>
              <w:rPr>
                <w:b/>
                <w:bCs/>
                <w:sz w:val="20"/>
                <w:szCs w:val="20"/>
              </w:rPr>
              <w:t>CLO3</w:t>
            </w:r>
          </w:p>
        </w:tc>
        <w:tc>
          <w:tcPr>
            <w:tcW w:w="1411" w:type="dxa"/>
            <w:tcBorders>
              <w:top w:val="single" w:sz="1" w:space="0" w:color="999999"/>
              <w:left w:val="single" w:sz="1" w:space="0" w:color="999999"/>
              <w:bottom w:val="single" w:sz="1" w:space="0" w:color="999999"/>
              <w:right w:val="single" w:sz="1" w:space="0" w:color="999999"/>
            </w:tcBorders>
          </w:tcPr>
          <w:p w14:paraId="41266EE4"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7A78FD10"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0E913FA8"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7543D8C9"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46E07F2B" w14:textId="77777777" w:rsidR="005C0B24" w:rsidRDefault="00000000">
            <w:pPr>
              <w:jc w:val="center"/>
            </w:pPr>
            <w:r>
              <w:rPr>
                <w:sz w:val="20"/>
                <w:szCs w:val="20"/>
              </w:rPr>
              <w:t>✓✓</w:t>
            </w:r>
          </w:p>
        </w:tc>
      </w:tr>
      <w:tr w:rsidR="005C0B24" w14:paraId="0AF9E342"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shd w:val="clear" w:color="auto" w:fill="F2F2F2"/>
          </w:tcPr>
          <w:p w14:paraId="76125677" w14:textId="77777777" w:rsidR="005C0B24" w:rsidRDefault="00000000">
            <w:r>
              <w:rPr>
                <w:b/>
                <w:bCs/>
                <w:sz w:val="20"/>
                <w:szCs w:val="20"/>
              </w:rPr>
              <w:t>CLO4</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388BFA68"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6D124643"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711E7A6A"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394B1AEF"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1155285B" w14:textId="77777777" w:rsidR="005C0B24" w:rsidRDefault="00000000">
            <w:pPr>
              <w:jc w:val="center"/>
            </w:pPr>
            <w:r>
              <w:rPr>
                <w:sz w:val="20"/>
                <w:szCs w:val="20"/>
              </w:rPr>
              <w:t>✓✓</w:t>
            </w:r>
          </w:p>
        </w:tc>
      </w:tr>
      <w:tr w:rsidR="005C0B24" w14:paraId="0A7743CE"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tcPr>
          <w:p w14:paraId="2F90174C" w14:textId="77777777" w:rsidR="005C0B24" w:rsidRDefault="00000000">
            <w:r>
              <w:rPr>
                <w:b/>
                <w:bCs/>
                <w:sz w:val="20"/>
                <w:szCs w:val="20"/>
              </w:rPr>
              <w:t>CLO5</w:t>
            </w:r>
          </w:p>
        </w:tc>
        <w:tc>
          <w:tcPr>
            <w:tcW w:w="1411" w:type="dxa"/>
            <w:tcBorders>
              <w:top w:val="single" w:sz="1" w:space="0" w:color="999999"/>
              <w:left w:val="single" w:sz="1" w:space="0" w:color="999999"/>
              <w:bottom w:val="single" w:sz="1" w:space="0" w:color="999999"/>
              <w:right w:val="single" w:sz="1" w:space="0" w:color="999999"/>
            </w:tcBorders>
          </w:tcPr>
          <w:p w14:paraId="45DA7A8D"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699C590C"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tcPr>
          <w:p w14:paraId="2E111BCB"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tcPr>
          <w:p w14:paraId="61640CF1"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56515D5B" w14:textId="77777777" w:rsidR="005C0B24" w:rsidRDefault="00000000">
            <w:pPr>
              <w:jc w:val="center"/>
            </w:pPr>
            <w:r>
              <w:rPr>
                <w:sz w:val="20"/>
                <w:szCs w:val="20"/>
              </w:rPr>
              <w:t>✓✓</w:t>
            </w:r>
          </w:p>
        </w:tc>
      </w:tr>
    </w:tbl>
    <w:p w14:paraId="51185D1A" w14:textId="77777777" w:rsidR="005C0B24" w:rsidRDefault="00000000">
      <w:pPr>
        <w:spacing w:before="80" w:after="80"/>
      </w:pPr>
      <w:r>
        <w:t>Key: ✓ = Addressed | ✓✓ = Primary Direct Evidence</w:t>
      </w:r>
    </w:p>
    <w:p w14:paraId="2EB87E2C" w14:textId="77777777" w:rsidR="005C0B24" w:rsidRDefault="005C0B24"/>
    <w:p w14:paraId="76CD1BA6" w14:textId="77777777" w:rsidR="005C0B24" w:rsidRDefault="00000000">
      <w:pPr>
        <w:pStyle w:val="Heading1"/>
      </w:pPr>
      <w:r>
        <w:t>10. Course Policies</w:t>
      </w:r>
    </w:p>
    <w:p w14:paraId="35AA9BF4" w14:textId="77777777" w:rsidR="005C0B24" w:rsidRDefault="00000000">
      <w:pPr>
        <w:pStyle w:val="Heading2"/>
      </w:pPr>
      <w:r>
        <w:t>10.1 Attendance &amp; Participation</w:t>
      </w:r>
    </w:p>
    <w:p w14:paraId="6D2DA1CD" w14:textId="77777777" w:rsidR="005C0B24" w:rsidRDefault="00000000">
      <w:pPr>
        <w:spacing w:before="80" w:after="80"/>
      </w:pPr>
      <w:r>
        <w:t>Regular attendance and active participation in synchronous sessions are essential for success in this course. Students are expected to attend all scheduled synchronous sessions with cameras enabled. If you must miss a session, please notify the instructor in advance. More than two unexcused absences may result in a reduced participation grade.</w:t>
      </w:r>
    </w:p>
    <w:p w14:paraId="0AA51E3A" w14:textId="77777777" w:rsidR="005C0B24" w:rsidRDefault="005C0B24"/>
    <w:p w14:paraId="7B854825" w14:textId="77777777" w:rsidR="005C0B24" w:rsidRDefault="00000000">
      <w:pPr>
        <w:pStyle w:val="Heading2"/>
      </w:pPr>
      <w:r>
        <w:t>10.2 Late Submission Policy</w:t>
      </w:r>
    </w:p>
    <w:p w14:paraId="432DB2AB" w14:textId="77777777" w:rsidR="005C0B24" w:rsidRDefault="00000000">
      <w:pPr>
        <w:pStyle w:val="ListParagraph"/>
        <w:numPr>
          <w:ilvl w:val="0"/>
          <w:numId w:val="3"/>
        </w:numPr>
        <w:spacing w:before="80" w:after="80"/>
      </w:pPr>
      <w:r>
        <w:t>Assignments submitted within 24 hours of deadline: 10% penalty</w:t>
      </w:r>
    </w:p>
    <w:p w14:paraId="4B2C3472" w14:textId="77777777" w:rsidR="005C0B24" w:rsidRDefault="00000000">
      <w:pPr>
        <w:pStyle w:val="ListParagraph"/>
        <w:numPr>
          <w:ilvl w:val="0"/>
          <w:numId w:val="3"/>
        </w:numPr>
        <w:spacing w:before="80" w:after="80"/>
      </w:pPr>
      <w:r>
        <w:t>Assignments submitted 24-48 hours late: 20% penalty</w:t>
      </w:r>
    </w:p>
    <w:p w14:paraId="79E4C996" w14:textId="77777777" w:rsidR="005C0B24" w:rsidRDefault="00000000">
      <w:pPr>
        <w:pStyle w:val="ListParagraph"/>
        <w:numPr>
          <w:ilvl w:val="0"/>
          <w:numId w:val="3"/>
        </w:numPr>
        <w:spacing w:before="80" w:after="80"/>
      </w:pPr>
      <w:r>
        <w:t>Assignments submitted more than 48 hours late: not accepted without prior approval</w:t>
      </w:r>
    </w:p>
    <w:p w14:paraId="591666F8" w14:textId="77777777" w:rsidR="005C0B24" w:rsidRDefault="00000000">
      <w:pPr>
        <w:pStyle w:val="ListParagraph"/>
        <w:numPr>
          <w:ilvl w:val="0"/>
          <w:numId w:val="3"/>
        </w:numPr>
        <w:spacing w:before="80" w:after="80"/>
      </w:pPr>
      <w:r>
        <w:t>Extensions may be granted for documented emergencies with advance notice</w:t>
      </w:r>
    </w:p>
    <w:p w14:paraId="4B790C17" w14:textId="77777777" w:rsidR="005C0B24" w:rsidRDefault="005C0B24"/>
    <w:p w14:paraId="7DD19994" w14:textId="77777777" w:rsidR="005C0B24" w:rsidRDefault="00000000">
      <w:pPr>
        <w:pStyle w:val="Heading2"/>
      </w:pPr>
      <w:r>
        <w:t>10.3 Academic Integrity</w:t>
      </w:r>
    </w:p>
    <w:p w14:paraId="6CFDD10D" w14:textId="77777777" w:rsidR="005C0B24" w:rsidRDefault="00000000">
      <w:pPr>
        <w:spacing w:before="80" w:after="80"/>
      </w:pPr>
      <w:r>
        <w:t>All work submitted must be your own original work. Plagiarism, including the use of AI-generated content without proper disclosure, is a serious academic offense. All sources must be properly cited. Violations of academic integrity will result in a zero for the assignment and may lead to further disciplinary action.</w:t>
      </w:r>
    </w:p>
    <w:p w14:paraId="6049DD87" w14:textId="77777777" w:rsidR="005C0B24" w:rsidRDefault="005C0B24"/>
    <w:p w14:paraId="0CC45CFC" w14:textId="77777777" w:rsidR="005C0B24" w:rsidRDefault="00000000">
      <w:pPr>
        <w:pStyle w:val="Heading2"/>
      </w:pPr>
      <w:r>
        <w:t>10.4 AI Usage Policy</w:t>
      </w:r>
    </w:p>
    <w:p w14:paraId="642FFA53" w14:textId="77777777" w:rsidR="005C0B24" w:rsidRDefault="00000000">
      <w:pPr>
        <w:spacing w:before="80" w:after="80"/>
      </w:pPr>
      <w:r>
        <w:t>Artificial intelligence may support selected source discovery, data cleaning, formula review, scenario generation, anomaly detection, model documentation, visualization, and communication, but students remain accountable for every source, data point, formula, forecast, discount rate, valuation judgment, sustainability pathway, ethical implication, and recommendation.</w:t>
      </w:r>
    </w:p>
    <w:p w14:paraId="1FA326A2" w14:textId="77777777" w:rsidR="005C0B24" w:rsidRDefault="00000000">
      <w:pPr>
        <w:pStyle w:val="ListParagraph"/>
        <w:numPr>
          <w:ilvl w:val="0"/>
          <w:numId w:val="8"/>
        </w:numPr>
        <w:spacing w:before="80" w:after="80"/>
      </w:pPr>
      <w:r>
        <w:t>Assessment Conditions: The Week 7 midterm examination is completed without generative AI unless the instructor expressly authorizes a specific tool or accommodation.</w:t>
      </w:r>
    </w:p>
    <w:p w14:paraId="510DDE95" w14:textId="77777777" w:rsidR="005C0B24" w:rsidRDefault="00000000">
      <w:pPr>
        <w:pStyle w:val="ListParagraph"/>
        <w:numPr>
          <w:ilvl w:val="0"/>
          <w:numId w:val="8"/>
        </w:numPr>
        <w:spacing w:before="80" w:after="80"/>
      </w:pPr>
      <w:r>
        <w:t>Transparency and Provenance: Every AI-assisted submission must include an AI Usage Statement identifying tools, purposes, material prompts, outputs used, information supplied, verification steps, limitations, and substantive human revisions.</w:t>
      </w:r>
    </w:p>
    <w:p w14:paraId="1C20C9C8" w14:textId="77777777" w:rsidR="005C0B24" w:rsidRDefault="00000000">
      <w:pPr>
        <w:pStyle w:val="ListParagraph"/>
        <w:numPr>
          <w:ilvl w:val="0"/>
          <w:numId w:val="8"/>
        </w:numPr>
        <w:spacing w:before="80" w:after="80"/>
      </w:pPr>
      <w:r>
        <w:t>Verification, Current Authority, and Professional Limits: AI output is not evidence. Students must use dated authoritative sources, verify calculations and claims, distinguish facts from estimates and scenarios, document limitations, and avoid presenting course work as legal, audit, certification, engineering, or other regulated professional advice.</w:t>
      </w:r>
    </w:p>
    <w:p w14:paraId="30E9B45B" w14:textId="77777777" w:rsidR="005C0B24" w:rsidRDefault="00000000">
      <w:pPr>
        <w:pStyle w:val="ListParagraph"/>
        <w:numPr>
          <w:ilvl w:val="0"/>
          <w:numId w:val="8"/>
        </w:numPr>
        <w:spacing w:before="80" w:after="80"/>
      </w:pPr>
      <w:r>
        <w:t>Privacy, Security, Confidentiality, Rights, and Responsible Disclosure: Sensitive personal, community, employee, customer, supplier, ecological, contractual, proprietary, or security information must not be entered into public AI systems. Students must use lawful access, data minimization, approved storage, safe simulation, rights-holder respect, and responsible disclosure.</w:t>
      </w:r>
    </w:p>
    <w:p w14:paraId="10B8D177" w14:textId="77777777" w:rsidR="005C0B24" w:rsidRDefault="005C0B24"/>
    <w:p w14:paraId="1D4883DF" w14:textId="77777777" w:rsidR="005C0B24" w:rsidRDefault="00000000">
      <w:pPr>
        <w:pStyle w:val="Heading2"/>
      </w:pPr>
      <w:r>
        <w:t>10.5 Communication Expectations</w:t>
      </w:r>
    </w:p>
    <w:p w14:paraId="01F7B9FD" w14:textId="77777777" w:rsidR="005C0B24" w:rsidRDefault="00000000">
      <w:pPr>
        <w:spacing w:before="80" w:after="80"/>
      </w:pPr>
      <w:r>
        <w:t>The instructor will respond to emails within 48 hours during the work week. For urgent matters, please indicate 'URGENT' in the subject line. Course announcements will be posted on the LMS. Students are expected to check the LMS and their university email daily.</w:t>
      </w:r>
    </w:p>
    <w:p w14:paraId="17A6C653" w14:textId="77777777" w:rsidR="005C0B24" w:rsidRDefault="005C0B24"/>
    <w:p w14:paraId="74132675" w14:textId="77777777" w:rsidR="005C0B24" w:rsidRDefault="00000000">
      <w:pPr>
        <w:pStyle w:val="Heading2"/>
      </w:pPr>
      <w:r>
        <w:t>10.6 Accessibility &amp; Accommodations</w:t>
      </w:r>
    </w:p>
    <w:p w14:paraId="1DB75237" w14:textId="77777777" w:rsidR="005C0B24" w:rsidRDefault="00000000">
      <w:pPr>
        <w:spacing w:before="80" w:after="80"/>
      </w:pPr>
      <w:r>
        <w:t>Focus University Institute is committed to providing equal access to all students. Students requiring accommodations should contact the Disability Services Office and the instructor at the beginning of the term. Reasonable accommodations will be made to ensure full participation in all course activities.</w:t>
      </w:r>
    </w:p>
    <w:p w14:paraId="1CD9B743" w14:textId="77777777" w:rsidR="005C0B24" w:rsidRDefault="005C0B24"/>
    <w:p w14:paraId="6758506A" w14:textId="77777777" w:rsidR="005C0B24" w:rsidRDefault="00000000">
      <w:pPr>
        <w:pStyle w:val="Heading2"/>
      </w:pPr>
      <w:r>
        <w:t>10.7 Netiquette Guidelines</w:t>
      </w:r>
    </w:p>
    <w:p w14:paraId="4211F2DC" w14:textId="77777777" w:rsidR="005C0B24" w:rsidRDefault="00000000">
      <w:pPr>
        <w:spacing w:before="80" w:after="80"/>
      </w:pPr>
      <w:r>
        <w:t>Online learning requires respectful, professional communication. When participating in synchronous and asynchronous discussions, please use professional language, be respectful of diverse perspectives, avoid all-caps (which reads as shouting), and provide constructive feedback. Remember that cultural differences may affect communication styles.</w:t>
      </w:r>
    </w:p>
    <w:p w14:paraId="459EC188" w14:textId="77777777" w:rsidR="005C0B24" w:rsidRDefault="005C0B24"/>
    <w:p w14:paraId="76734F8D" w14:textId="77777777" w:rsidR="005C0B24" w:rsidRDefault="00000000">
      <w:pPr>
        <w:pStyle w:val="Heading1"/>
      </w:pPr>
      <w:r>
        <w:t>11. Additional Resources</w:t>
      </w:r>
    </w:p>
    <w:p w14:paraId="40BFC990" w14:textId="77777777" w:rsidR="005C0B24" w:rsidRDefault="00000000">
      <w:pPr>
        <w:pStyle w:val="Heading2"/>
      </w:pPr>
      <w:r>
        <w:t>11.1 Library &amp; Research Support</w:t>
      </w:r>
    </w:p>
    <w:p w14:paraId="18A45E2D" w14:textId="77777777" w:rsidR="005C0B24" w:rsidRDefault="00000000">
      <w:pPr>
        <w:pStyle w:val="ListParagraph"/>
        <w:numPr>
          <w:ilvl w:val="0"/>
          <w:numId w:val="3"/>
        </w:numPr>
        <w:spacing w:before="80" w:after="80"/>
      </w:pPr>
      <w:r>
        <w:t>Focus University Institute Library: corporate finance, accounting, valuation, securities, economics, strategy, governance, sustainability, climate finance, transactions, law, and peer-reviewed business databases</w:t>
      </w:r>
    </w:p>
    <w:p w14:paraId="74BD950C" w14:textId="77777777" w:rsidR="005C0B24" w:rsidRDefault="00000000">
      <w:pPr>
        <w:pStyle w:val="ListParagraph"/>
        <w:numPr>
          <w:ilvl w:val="0"/>
          <w:numId w:val="3"/>
        </w:numPr>
        <w:spacing w:before="80" w:after="80"/>
      </w:pPr>
      <w:r>
        <w:t>Research Librarian consultations are available for authoritative academic, regulatory, standards, statistical, organizational, community, and methodological evidence.</w:t>
      </w:r>
    </w:p>
    <w:p w14:paraId="280BF01C" w14:textId="77777777" w:rsidR="005C0B24" w:rsidRDefault="005C0B24"/>
    <w:p w14:paraId="6D073AA9" w14:textId="77777777" w:rsidR="005C0B24" w:rsidRDefault="00000000">
      <w:pPr>
        <w:pStyle w:val="Heading2"/>
      </w:pPr>
      <w:r>
        <w:t>11.2 Writing &amp; Academic Support</w:t>
      </w:r>
    </w:p>
    <w:p w14:paraId="49625317" w14:textId="77777777" w:rsidR="005C0B24" w:rsidRDefault="00000000">
      <w:pPr>
        <w:pStyle w:val="ListParagraph"/>
        <w:numPr>
          <w:ilvl w:val="0"/>
          <w:numId w:val="3"/>
        </w:numPr>
        <w:spacing w:before="80" w:after="80"/>
      </w:pPr>
      <w:r>
        <w:t>Writing and Learning Support: graduate financial analysis, spreadsheet modelling, valuation, quantitative reasoning, scenario design, evidence evaluation, board writing, visualization, presentation, and study consultations</w:t>
      </w:r>
    </w:p>
    <w:p w14:paraId="5C1A7032" w14:textId="77777777" w:rsidR="005C0B24" w:rsidRDefault="00000000">
      <w:pPr>
        <w:pStyle w:val="ListParagraph"/>
        <w:numPr>
          <w:ilvl w:val="0"/>
          <w:numId w:val="3"/>
        </w:numPr>
        <w:spacing w:before="80" w:after="80"/>
      </w:pPr>
      <w:r>
        <w:t>APA Citation Guide: Purdue OWL (https://owl.purdue.edu/)</w:t>
      </w:r>
    </w:p>
    <w:p w14:paraId="7D4F1C01" w14:textId="77777777" w:rsidR="005C0B24" w:rsidRDefault="005C0B24"/>
    <w:p w14:paraId="5EF25D81" w14:textId="77777777" w:rsidR="005C0B24" w:rsidRDefault="00000000">
      <w:pPr>
        <w:pStyle w:val="Heading2"/>
      </w:pPr>
      <w:r>
        <w:t>11.3 Technical Support</w:t>
      </w:r>
    </w:p>
    <w:p w14:paraId="12FA038B" w14:textId="77777777" w:rsidR="005C0B24" w:rsidRDefault="00000000">
      <w:pPr>
        <w:pStyle w:val="ListParagraph"/>
        <w:numPr>
          <w:ilvl w:val="0"/>
          <w:numId w:val="3"/>
        </w:numPr>
        <w:spacing w:before="80" w:after="80"/>
      </w:pPr>
      <w:r>
        <w:t>IT Help Desk: LMS, account, spreadsheet, database, filings, market-data, secure-storage, visualization, presentation, accessibility, model-versioning, and approved-tool support</w:t>
      </w:r>
    </w:p>
    <w:p w14:paraId="1C66B1A2" w14:textId="77777777" w:rsidR="005C0B24" w:rsidRDefault="00000000">
      <w:pPr>
        <w:pStyle w:val="ListParagraph"/>
        <w:numPr>
          <w:ilvl w:val="0"/>
          <w:numId w:val="3"/>
        </w:numPr>
        <w:spacing w:before="80" w:after="80"/>
      </w:pPr>
      <w:r>
        <w:t>Source verification, data-provenance, safe-disclosure, accessibility, reproducibility, and AI Usage Statement tutorials are available in the course Getting Started module.</w:t>
      </w:r>
    </w:p>
    <w:p w14:paraId="2AB947EE" w14:textId="77777777" w:rsidR="005C0B24" w:rsidRDefault="005C0B24"/>
    <w:p w14:paraId="21093228" w14:textId="77777777" w:rsidR="005C0B24" w:rsidRDefault="00000000">
      <w:pPr>
        <w:pStyle w:val="Heading2"/>
      </w:pPr>
      <w:r>
        <w:t>11.4 Professional Development</w:t>
      </w:r>
    </w:p>
    <w:p w14:paraId="78D5E0F3" w14:textId="77777777" w:rsidR="005C0B24" w:rsidRDefault="00000000">
      <w:pPr>
        <w:pStyle w:val="ListParagraph"/>
        <w:numPr>
          <w:ilvl w:val="0"/>
          <w:numId w:val="3"/>
        </w:numPr>
        <w:spacing w:before="80" w:after="80"/>
      </w:pPr>
      <w:r>
        <w:t>OpenStax, NYU Damodaran resources, SEC EDGAR, IFRS Foundation, GHG Protocol, European Commission, FRED, and other authoritative open corporate-finance and sustainability sources</w:t>
      </w:r>
    </w:p>
    <w:p w14:paraId="4023C1DD" w14:textId="77777777" w:rsidR="005C0B24" w:rsidRDefault="00000000">
      <w:pPr>
        <w:pStyle w:val="ListParagraph"/>
        <w:numPr>
          <w:ilvl w:val="0"/>
          <w:numId w:val="3"/>
        </w:numPr>
        <w:spacing w:before="80" w:after="80"/>
      </w:pPr>
      <w:r>
        <w:t>Peer-reviewed research, audited financial statements, public securities filings, market and macroeconomic data, organizational disclosures, and sector evidence used with lawful access and context</w:t>
      </w:r>
    </w:p>
    <w:p w14:paraId="36D1113B" w14:textId="77777777" w:rsidR="005C0B24" w:rsidRDefault="00000000">
      <w:pPr>
        <w:pStyle w:val="ListParagraph"/>
        <w:numPr>
          <w:ilvl w:val="0"/>
          <w:numId w:val="3"/>
        </w:numPr>
        <w:spacing w:before="80" w:after="80"/>
      </w:pPr>
      <w:r>
        <w:t>Professional finance and valuation associations, central banks, securities regulators, accounting bodies, exchanges, and corporate-governance resources</w:t>
      </w:r>
    </w:p>
    <w:p w14:paraId="0D8EC506" w14:textId="77777777" w:rsidR="005C0B24" w:rsidRDefault="005C0B24"/>
    <w:p>
      <w:pPr>
        <w:pStyle w:val="Heading2"/>
      </w:pPr>
      <w:r>
        <w:t>11.5 Suggested Bibliography (APA 7)</w:t>
      </w:r>
    </w:p>
    <w:p>
      <w:pPr>
        <w:pStyle w:val="ListParagraph"/>
      </w:pPr>
      <w:r>
        <w:t>Berk, J., &amp; DeMarzo, P. (2024). Corporate finance (6th ed.). Pearson.</w:t>
      </w:r>
    </w:p>
    <w:p>
      <w:pPr>
        <w:pStyle w:val="ListParagraph"/>
      </w:pPr>
      <w:r>
        <w:t>Dahlquist, J., &amp; Knight, R. (2022). Principles of finance. OpenStax. https://openstax.org/details/books/principles-finance</w:t>
      </w:r>
    </w:p>
    <w:p>
      <w:pPr>
        <w:pStyle w:val="ListParagraph"/>
      </w:pPr>
      <w:r>
        <w:t>Damodaran, A. (2012). Investment valuation: Tools and techniques for determining the value of any asset (3rd ed.). Wiley.</w:t>
      </w:r>
    </w:p>
    <w:p>
      <w:pPr>
        <w:pStyle w:val="ListParagraph"/>
      </w:pPr>
      <w:r>
        <w:t>Friede, G., Busch, T., &amp; Bassen, A. (2015). ESG and financial performance: Aggregated evidence from more than 2000 empirical studies. Journal of Sustainable Finance &amp; Investment, 5(4), 210-233. https://doi.org/10.1080/20430795.2015.1118917</w:t>
      </w:r>
    </w:p>
    <w:p>
      <w:pPr>
        <w:pStyle w:val="ListParagraph"/>
      </w:pPr>
      <w:r>
        <w:t>Giglio, S., Kelly, B., &amp; Stroebel, J. (2021). Climate finance. Annual Review of Financial Economics, 13, 15-36. https://doi.org/10.1146/annurev-financial-102620-103311</w:t>
      </w:r>
    </w:p>
    <w:p>
      <w:pPr>
        <w:pStyle w:val="ListParagraph"/>
      </w:pPr>
      <w:r>
        <w:t>Graham, J. R., &amp; Harvey, C. R. (2001). The theory and practice of corporate finance: Evidence from the field. Journal of Financial Economics, 60(2-3), 187-243. https://doi.org/10.1016/S0304-405X(01)00044-7</w:t>
      </w:r>
    </w:p>
    <w:p>
      <w:pPr>
        <w:pStyle w:val="ListParagraph"/>
      </w:pPr>
      <w:r>
        <w:t>IFRS Foundation. (2023). IFRS S1 general requirements for disclosure of sustainability-related financial information. https://www.ifrs.org/issued-standards/ifrs-sustainability-standards-navigator/ifrs-s1-general-requirements/</w:t>
      </w:r>
    </w:p>
    <w:p>
      <w:pPr>
        <w:pStyle w:val="ListParagraph"/>
      </w:pPr>
      <w:r>
        <w:t>IFRS Foundation. (2023). IFRS S2 climate-related disclosures. https://www.ifrs.org/issued-standards/ifrs-sustainability-standards-navigator/ifrs-s2-climate-related-disclosures/</w:t>
      </w:r>
    </w:p>
    <w:p>
      <w:pPr>
        <w:pStyle w:val="ListParagraph"/>
      </w:pPr>
      <w:r>
        <w:t>Koller, T., Goedhart, M., Wessels, D., &amp; McKinsey &amp; Company. (2025). Valuation: Measuring and managing the value of companies (8th ed.). Wiley.</w:t>
      </w:r>
    </w:p>
    <w:p>
      <w:pPr>
        <w:pStyle w:val="ListParagraph"/>
      </w:pPr>
      <w:r>
        <w:t>Krueger, P., Sautner, Z., &amp; Starks, L. T. (2020). The importance of climate risks for institutional investors. The Review of Financial Studies, 33(3), 1067-1111. https://doi.org/10.1093/rfs/hhz137</w:t>
      </w:r>
    </w:p>
    <w:p w14:paraId="392940AF" w14:textId="77777777" w:rsidR="005C0B24" w:rsidRDefault="00000000">
      <w:pPr>
        <w:pStyle w:val="Heading1"/>
      </w:pPr>
      <w:r>
        <w:t>12. Syllabus Disclaimer</w:t>
      </w:r>
    </w:p>
    <w:p w14:paraId="7EA35AAE" w14:textId="77777777" w:rsidR="005C0B24" w:rsidRDefault="00000000">
      <w:pPr>
        <w:spacing w:before="80" w:after="80"/>
      </w:pPr>
      <w:r>
        <w:t>This syllabus represents a plan for the course and may be modified based on pedagogical needs or material changes in financial evidence, markets, interest rates, technologies, laws, regulations, accounting or sustainability standards, company disclosures, and data availability. Course analysis is educational and does not constitute investment, valuation, tax, accounting, legal, audit, assurance, or other regulated professional advice. Students will be notified of significant changes through the LMS and email.</w:t>
      </w:r>
    </w:p>
    <w:p w14:paraId="5BDAAEA2" w14:textId="77777777" w:rsidR="005C0B24" w:rsidRDefault="005C0B24">
      <w:pPr>
        <w:pageBreakBefore w:val="0"/>
      </w:pPr>
    </w:p>
    <w:p w14:paraId="6F6A6C91" w14:textId="77777777" w:rsidR="005C0B24" w:rsidRDefault="005C0B24">
      <w:pPr>
        <w:pageBreakBefore w:val="0"/>
      </w:pPr>
    </w:p>
    <w:p w14:paraId="60D3F035" w14:textId="77777777" w:rsidR="005C0B24" w:rsidRDefault="00000000">
      <w:pPr>
        <w:pageBreakBefore w:val="0"/>
        <w:pBdr>
          <w:top w:val="single" w:sz="6" w:space="0" w:color="1F4E79"/>
        </w:pBdr>
        <w:spacing w:before="200" w:after="100"/>
        <w:jc w:val="center"/>
      </w:pPr>
      <w:r>
        <w:t>Focus University Institute</w:t>
      </w:r>
    </w:p>
    <w:p w14:paraId="3DB31312" w14:textId="77777777" w:rsidR="005C0B24" w:rsidRDefault="00000000">
      <w:pPr>
        <w:pageBreakBefore w:val="0"/>
        <w:spacing w:before="50" w:after="50"/>
        <w:jc w:val="center"/>
      </w:pPr>
      <w:r>
        <w:t>Madrid, Spain</w:t>
      </w:r>
    </w:p>
    <w:p w14:paraId="19EF7002" w14:textId="77777777" w:rsidR="005C0B24" w:rsidRDefault="00000000">
      <w:pPr>
        <w:pageBreakBefore w:val="0"/>
        <w:spacing w:before="50" w:after="200"/>
        <w:jc w:val="center"/>
      </w:pPr>
      <w:r>
        <w:t>© 2026 Focus University Institute. All rights reserved.</w:t>
      </w:r>
    </w:p>
    <w:sectPr w:rsidR="005C0B24">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4F556" w14:textId="77777777" w:rsidR="00D06CD0" w:rsidRDefault="00D06CD0">
      <w:r>
        <w:separator/>
      </w:r>
    </w:p>
  </w:endnote>
  <w:endnote w:type="continuationSeparator" w:id="0">
    <w:p w14:paraId="65C1228B" w14:textId="77777777" w:rsidR="00D06CD0" w:rsidRDefault="00D06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7E56" w14:textId="77777777" w:rsidR="005C0B24" w:rsidRDefault="00000000">
    <w:pPr>
      <w:jc w:val="center"/>
    </w:pPr>
    <w:r>
      <w:rPr>
        <w:color w:val="666666"/>
        <w:sz w:val="18"/>
        <w:szCs w:val="18"/>
      </w:rPr>
      <w:t xml:space="preserve">Page </w:t>
    </w:r>
    <w:r>
      <w:rPr>
        <w:color w:val="666666"/>
        <w:sz w:val="18"/>
        <w:szCs w:val="18"/>
      </w:rPr>
      <w:fldChar w:fldCharType="begin"/>
    </w:r>
    <w:r>
      <w:rPr>
        <w:color w:val="666666"/>
        <w:sz w:val="18"/>
        <w:szCs w:val="18"/>
      </w:rPr>
      <w:instrText>PAGE</w:instrText>
    </w:r>
    <w:r>
      <w:rPr>
        <w:color w:val="666666"/>
        <w:sz w:val="18"/>
        <w:szCs w:val="18"/>
      </w:rPr>
      <w:fldChar w:fldCharType="separate"/>
    </w:r>
    <w:r w:rsidR="0087309D">
      <w:rPr>
        <w:noProof/>
        <w:color w:val="666666"/>
        <w:sz w:val="18"/>
        <w:szCs w:val="18"/>
      </w:rPr>
      <w:t>1</w:t>
    </w:r>
    <w:r>
      <w:rPr>
        <w:color w:val="666666"/>
        <w:sz w:val="18"/>
        <w:szCs w:val="18"/>
      </w:rPr>
      <w:fldChar w:fldCharType="end"/>
    </w:r>
    <w:r>
      <w:rPr>
        <w:color w:val="666666"/>
        <w:sz w:val="18"/>
        <w:szCs w:val="18"/>
      </w:rPr>
      <w:t xml:space="preserve"> of </w:t>
    </w:r>
    <w:r>
      <w:rPr>
        <w:color w:val="666666"/>
        <w:sz w:val="18"/>
        <w:szCs w:val="18"/>
      </w:rPr>
      <w:fldChar w:fldCharType="begin"/>
    </w:r>
    <w:r>
      <w:rPr>
        <w:color w:val="666666"/>
        <w:sz w:val="18"/>
        <w:szCs w:val="18"/>
      </w:rPr>
      <w:instrText>NUMPAGES</w:instrText>
    </w:r>
    <w:r>
      <w:rPr>
        <w:color w:val="666666"/>
        <w:sz w:val="18"/>
        <w:szCs w:val="18"/>
      </w:rPr>
      <w:fldChar w:fldCharType="separate"/>
    </w:r>
    <w:r w:rsidR="0087309D">
      <w:rPr>
        <w:noProof/>
        <w:color w:val="666666"/>
        <w:sz w:val="18"/>
        <w:szCs w:val="18"/>
      </w:rPr>
      <w:t>2</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E4D5E" w14:textId="77777777" w:rsidR="00D06CD0" w:rsidRDefault="00D06CD0">
      <w:r>
        <w:separator/>
      </w:r>
    </w:p>
  </w:footnote>
  <w:footnote w:type="continuationSeparator" w:id="0">
    <w:p w14:paraId="5B31A958" w14:textId="77777777" w:rsidR="00D06CD0" w:rsidRDefault="00D06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9128" w14:textId="77777777" w:rsidR="005C0B24" w:rsidRDefault="00000000">
    <w:pPr>
      <w:jc w:val="right"/>
    </w:pPr>
    <w:r>
      <w:t>Focus University Institute | Corporate Finance and Business Valuation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61FA"/>
    <w:multiLevelType w:val="hybridMultilevel"/>
    <w:tmpl w:val="0EB22B2C"/>
    <w:lvl w:ilvl="0" w:tplc="B07AB938">
      <w:start w:val="1"/>
      <w:numFmt w:val="decimal"/>
      <w:lvlText w:val="LO%1."/>
      <w:lvlJc w:val="left"/>
      <w:pPr>
        <w:ind w:left="720" w:hanging="540"/>
      </w:pPr>
    </w:lvl>
    <w:lvl w:ilvl="1" w:tplc="2556C3FE">
      <w:numFmt w:val="decimal"/>
      <w:lvlText w:val=""/>
      <w:lvlJc w:val="left"/>
    </w:lvl>
    <w:lvl w:ilvl="2" w:tplc="71A42AE6">
      <w:numFmt w:val="decimal"/>
      <w:lvlText w:val=""/>
      <w:lvlJc w:val="left"/>
    </w:lvl>
    <w:lvl w:ilvl="3" w:tplc="0370243C">
      <w:numFmt w:val="decimal"/>
      <w:lvlText w:val=""/>
      <w:lvlJc w:val="left"/>
    </w:lvl>
    <w:lvl w:ilvl="4" w:tplc="90381A0E">
      <w:numFmt w:val="decimal"/>
      <w:lvlText w:val=""/>
      <w:lvlJc w:val="left"/>
    </w:lvl>
    <w:lvl w:ilvl="5" w:tplc="F844F46E">
      <w:numFmt w:val="decimal"/>
      <w:lvlText w:val=""/>
      <w:lvlJc w:val="left"/>
    </w:lvl>
    <w:lvl w:ilvl="6" w:tplc="B21A1896">
      <w:numFmt w:val="decimal"/>
      <w:lvlText w:val=""/>
      <w:lvlJc w:val="left"/>
    </w:lvl>
    <w:lvl w:ilvl="7" w:tplc="A5869314">
      <w:numFmt w:val="decimal"/>
      <w:lvlText w:val=""/>
      <w:lvlJc w:val="left"/>
    </w:lvl>
    <w:lvl w:ilvl="8" w:tplc="D4DEE404">
      <w:numFmt w:val="decimal"/>
      <w:lvlText w:val=""/>
      <w:lvlJc w:val="left"/>
    </w:lvl>
  </w:abstractNum>
  <w:abstractNum w:abstractNumId="1" w15:restartNumberingAfterBreak="0">
    <w:nsid w:val="07FD1788"/>
    <w:multiLevelType w:val="hybridMultilevel"/>
    <w:tmpl w:val="D6180016"/>
    <w:lvl w:ilvl="0" w:tplc="AAA034B2">
      <w:start w:val="1"/>
      <w:numFmt w:val="decimal"/>
      <w:lvlText w:val="%1."/>
      <w:lvlJc w:val="left"/>
      <w:pPr>
        <w:ind w:left="720" w:hanging="360"/>
      </w:pPr>
    </w:lvl>
    <w:lvl w:ilvl="1" w:tplc="F8EC16D4">
      <w:numFmt w:val="decimal"/>
      <w:lvlText w:val=""/>
      <w:lvlJc w:val="left"/>
    </w:lvl>
    <w:lvl w:ilvl="2" w:tplc="115E8798">
      <w:numFmt w:val="decimal"/>
      <w:lvlText w:val=""/>
      <w:lvlJc w:val="left"/>
    </w:lvl>
    <w:lvl w:ilvl="3" w:tplc="6C1A82F2">
      <w:numFmt w:val="decimal"/>
      <w:lvlText w:val=""/>
      <w:lvlJc w:val="left"/>
    </w:lvl>
    <w:lvl w:ilvl="4" w:tplc="251E75C0">
      <w:numFmt w:val="decimal"/>
      <w:lvlText w:val=""/>
      <w:lvlJc w:val="left"/>
    </w:lvl>
    <w:lvl w:ilvl="5" w:tplc="A9B2A91A">
      <w:numFmt w:val="decimal"/>
      <w:lvlText w:val=""/>
      <w:lvlJc w:val="left"/>
    </w:lvl>
    <w:lvl w:ilvl="6" w:tplc="CA326EE6">
      <w:numFmt w:val="decimal"/>
      <w:lvlText w:val=""/>
      <w:lvlJc w:val="left"/>
    </w:lvl>
    <w:lvl w:ilvl="7" w:tplc="FCBA06BA">
      <w:numFmt w:val="decimal"/>
      <w:lvlText w:val=""/>
      <w:lvlJc w:val="left"/>
    </w:lvl>
    <w:lvl w:ilvl="8" w:tplc="6B54EC8A">
      <w:numFmt w:val="decimal"/>
      <w:lvlText w:val=""/>
      <w:lvlJc w:val="left"/>
    </w:lvl>
  </w:abstractNum>
  <w:abstractNum w:abstractNumId="2" w15:restartNumberingAfterBreak="0">
    <w:nsid w:val="1CE7025B"/>
    <w:multiLevelType w:val="hybridMultilevel"/>
    <w:tmpl w:val="0298BA22"/>
    <w:lvl w:ilvl="0" w:tplc="376A4490">
      <w:start w:val="1"/>
      <w:numFmt w:val="decimal"/>
      <w:lvlText w:val="%1."/>
      <w:lvlJc w:val="left"/>
      <w:pPr>
        <w:ind w:left="720" w:hanging="360"/>
      </w:pPr>
    </w:lvl>
    <w:lvl w:ilvl="1" w:tplc="B6A8E1DC">
      <w:numFmt w:val="decimal"/>
      <w:lvlText w:val=""/>
      <w:lvlJc w:val="left"/>
    </w:lvl>
    <w:lvl w:ilvl="2" w:tplc="676C1E50">
      <w:numFmt w:val="decimal"/>
      <w:lvlText w:val=""/>
      <w:lvlJc w:val="left"/>
    </w:lvl>
    <w:lvl w:ilvl="3" w:tplc="294CAC04">
      <w:numFmt w:val="decimal"/>
      <w:lvlText w:val=""/>
      <w:lvlJc w:val="left"/>
    </w:lvl>
    <w:lvl w:ilvl="4" w:tplc="C1904082">
      <w:numFmt w:val="decimal"/>
      <w:lvlText w:val=""/>
      <w:lvlJc w:val="left"/>
    </w:lvl>
    <w:lvl w:ilvl="5" w:tplc="0A362D48">
      <w:numFmt w:val="decimal"/>
      <w:lvlText w:val=""/>
      <w:lvlJc w:val="left"/>
    </w:lvl>
    <w:lvl w:ilvl="6" w:tplc="840E6DEA">
      <w:numFmt w:val="decimal"/>
      <w:lvlText w:val=""/>
      <w:lvlJc w:val="left"/>
    </w:lvl>
    <w:lvl w:ilvl="7" w:tplc="2EB08F4C">
      <w:numFmt w:val="decimal"/>
      <w:lvlText w:val=""/>
      <w:lvlJc w:val="left"/>
    </w:lvl>
    <w:lvl w:ilvl="8" w:tplc="E5FEFE70">
      <w:numFmt w:val="decimal"/>
      <w:lvlText w:val=""/>
      <w:lvlJc w:val="left"/>
    </w:lvl>
  </w:abstractNum>
  <w:abstractNum w:abstractNumId="3" w15:restartNumberingAfterBreak="0">
    <w:nsid w:val="25C6637F"/>
    <w:multiLevelType w:val="hybridMultilevel"/>
    <w:tmpl w:val="7EA05E26"/>
    <w:lvl w:ilvl="0" w:tplc="5DBC4858">
      <w:start w:val="1"/>
      <w:numFmt w:val="decimal"/>
      <w:lvlText w:val="%1."/>
      <w:lvlJc w:val="left"/>
      <w:pPr>
        <w:ind w:left="720" w:hanging="360"/>
      </w:pPr>
    </w:lvl>
    <w:lvl w:ilvl="1" w:tplc="E3B8A94E">
      <w:numFmt w:val="decimal"/>
      <w:lvlText w:val=""/>
      <w:lvlJc w:val="left"/>
    </w:lvl>
    <w:lvl w:ilvl="2" w:tplc="ADB698B0">
      <w:numFmt w:val="decimal"/>
      <w:lvlText w:val=""/>
      <w:lvlJc w:val="left"/>
    </w:lvl>
    <w:lvl w:ilvl="3" w:tplc="44F25D62">
      <w:numFmt w:val="decimal"/>
      <w:lvlText w:val=""/>
      <w:lvlJc w:val="left"/>
    </w:lvl>
    <w:lvl w:ilvl="4" w:tplc="CD46935E">
      <w:numFmt w:val="decimal"/>
      <w:lvlText w:val=""/>
      <w:lvlJc w:val="left"/>
    </w:lvl>
    <w:lvl w:ilvl="5" w:tplc="EB3CDBEE">
      <w:numFmt w:val="decimal"/>
      <w:lvlText w:val=""/>
      <w:lvlJc w:val="left"/>
    </w:lvl>
    <w:lvl w:ilvl="6" w:tplc="E1AC0B76">
      <w:numFmt w:val="decimal"/>
      <w:lvlText w:val=""/>
      <w:lvlJc w:val="left"/>
    </w:lvl>
    <w:lvl w:ilvl="7" w:tplc="016850C6">
      <w:numFmt w:val="decimal"/>
      <w:lvlText w:val=""/>
      <w:lvlJc w:val="left"/>
    </w:lvl>
    <w:lvl w:ilvl="8" w:tplc="250EF2A8">
      <w:numFmt w:val="decimal"/>
      <w:lvlText w:val=""/>
      <w:lvlJc w:val="left"/>
    </w:lvl>
  </w:abstractNum>
  <w:abstractNum w:abstractNumId="4" w15:restartNumberingAfterBreak="0">
    <w:nsid w:val="25F44110"/>
    <w:multiLevelType w:val="hybridMultilevel"/>
    <w:tmpl w:val="9B0C892A"/>
    <w:lvl w:ilvl="0" w:tplc="9BF6B620">
      <w:start w:val="1"/>
      <w:numFmt w:val="decimal"/>
      <w:lvlText w:val="%1."/>
      <w:lvlJc w:val="left"/>
      <w:pPr>
        <w:ind w:left="720" w:hanging="360"/>
      </w:pPr>
    </w:lvl>
    <w:lvl w:ilvl="1" w:tplc="893AE822">
      <w:numFmt w:val="decimal"/>
      <w:lvlText w:val=""/>
      <w:lvlJc w:val="left"/>
    </w:lvl>
    <w:lvl w:ilvl="2" w:tplc="0D3AADBE">
      <w:numFmt w:val="decimal"/>
      <w:lvlText w:val=""/>
      <w:lvlJc w:val="left"/>
    </w:lvl>
    <w:lvl w:ilvl="3" w:tplc="CB4EF5CE">
      <w:numFmt w:val="decimal"/>
      <w:lvlText w:val=""/>
      <w:lvlJc w:val="left"/>
    </w:lvl>
    <w:lvl w:ilvl="4" w:tplc="90629902">
      <w:numFmt w:val="decimal"/>
      <w:lvlText w:val=""/>
      <w:lvlJc w:val="left"/>
    </w:lvl>
    <w:lvl w:ilvl="5" w:tplc="76226ECE">
      <w:numFmt w:val="decimal"/>
      <w:lvlText w:val=""/>
      <w:lvlJc w:val="left"/>
    </w:lvl>
    <w:lvl w:ilvl="6" w:tplc="44EA2F4E">
      <w:numFmt w:val="decimal"/>
      <w:lvlText w:val=""/>
      <w:lvlJc w:val="left"/>
    </w:lvl>
    <w:lvl w:ilvl="7" w:tplc="2F52E198">
      <w:numFmt w:val="decimal"/>
      <w:lvlText w:val=""/>
      <w:lvlJc w:val="left"/>
    </w:lvl>
    <w:lvl w:ilvl="8" w:tplc="1C566A40">
      <w:numFmt w:val="decimal"/>
      <w:lvlText w:val=""/>
      <w:lvlJc w:val="left"/>
    </w:lvl>
  </w:abstractNum>
  <w:abstractNum w:abstractNumId="5" w15:restartNumberingAfterBreak="0">
    <w:nsid w:val="58BB555E"/>
    <w:multiLevelType w:val="hybridMultilevel"/>
    <w:tmpl w:val="842E66D8"/>
    <w:lvl w:ilvl="0" w:tplc="FD14B2EC">
      <w:start w:val="1"/>
      <w:numFmt w:val="bullet"/>
      <w:lvlText w:val="•"/>
      <w:lvlJc w:val="left"/>
      <w:pPr>
        <w:ind w:left="720" w:hanging="360"/>
      </w:pPr>
    </w:lvl>
    <w:lvl w:ilvl="1" w:tplc="B9BE62B6">
      <w:numFmt w:val="decimal"/>
      <w:lvlText w:val=""/>
      <w:lvlJc w:val="left"/>
    </w:lvl>
    <w:lvl w:ilvl="2" w:tplc="615C75B4">
      <w:numFmt w:val="decimal"/>
      <w:lvlText w:val=""/>
      <w:lvlJc w:val="left"/>
    </w:lvl>
    <w:lvl w:ilvl="3" w:tplc="F9A4A112">
      <w:numFmt w:val="decimal"/>
      <w:lvlText w:val=""/>
      <w:lvlJc w:val="left"/>
    </w:lvl>
    <w:lvl w:ilvl="4" w:tplc="AB16137E">
      <w:numFmt w:val="decimal"/>
      <w:lvlText w:val=""/>
      <w:lvlJc w:val="left"/>
    </w:lvl>
    <w:lvl w:ilvl="5" w:tplc="0BB0CAC0">
      <w:numFmt w:val="decimal"/>
      <w:lvlText w:val=""/>
      <w:lvlJc w:val="left"/>
    </w:lvl>
    <w:lvl w:ilvl="6" w:tplc="AC445656">
      <w:numFmt w:val="decimal"/>
      <w:lvlText w:val=""/>
      <w:lvlJc w:val="left"/>
    </w:lvl>
    <w:lvl w:ilvl="7" w:tplc="B3509266">
      <w:numFmt w:val="decimal"/>
      <w:lvlText w:val=""/>
      <w:lvlJc w:val="left"/>
    </w:lvl>
    <w:lvl w:ilvl="8" w:tplc="D2E2A62C">
      <w:numFmt w:val="decimal"/>
      <w:lvlText w:val=""/>
      <w:lvlJc w:val="left"/>
    </w:lvl>
  </w:abstractNum>
  <w:abstractNum w:abstractNumId="6" w15:restartNumberingAfterBreak="0">
    <w:nsid w:val="5DB416D6"/>
    <w:multiLevelType w:val="hybridMultilevel"/>
    <w:tmpl w:val="6660C86A"/>
    <w:lvl w:ilvl="0" w:tplc="392E00F4">
      <w:start w:val="1"/>
      <w:numFmt w:val="decimal"/>
      <w:lvlText w:val="%1."/>
      <w:lvlJc w:val="left"/>
      <w:pPr>
        <w:ind w:left="720" w:hanging="360"/>
      </w:pPr>
    </w:lvl>
    <w:lvl w:ilvl="1" w:tplc="07B28BC4">
      <w:numFmt w:val="decimal"/>
      <w:lvlText w:val=""/>
      <w:lvlJc w:val="left"/>
    </w:lvl>
    <w:lvl w:ilvl="2" w:tplc="7EC6F030">
      <w:numFmt w:val="decimal"/>
      <w:lvlText w:val=""/>
      <w:lvlJc w:val="left"/>
    </w:lvl>
    <w:lvl w:ilvl="3" w:tplc="01AA2E0E">
      <w:numFmt w:val="decimal"/>
      <w:lvlText w:val=""/>
      <w:lvlJc w:val="left"/>
    </w:lvl>
    <w:lvl w:ilvl="4" w:tplc="575E34BC">
      <w:numFmt w:val="decimal"/>
      <w:lvlText w:val=""/>
      <w:lvlJc w:val="left"/>
    </w:lvl>
    <w:lvl w:ilvl="5" w:tplc="8362C05A">
      <w:numFmt w:val="decimal"/>
      <w:lvlText w:val=""/>
      <w:lvlJc w:val="left"/>
    </w:lvl>
    <w:lvl w:ilvl="6" w:tplc="DEE45B58">
      <w:numFmt w:val="decimal"/>
      <w:lvlText w:val=""/>
      <w:lvlJc w:val="left"/>
    </w:lvl>
    <w:lvl w:ilvl="7" w:tplc="BF4E87DE">
      <w:numFmt w:val="decimal"/>
      <w:lvlText w:val=""/>
      <w:lvlJc w:val="left"/>
    </w:lvl>
    <w:lvl w:ilvl="8" w:tplc="B002EE3A">
      <w:numFmt w:val="decimal"/>
      <w:lvlText w:val=""/>
      <w:lvlJc w:val="left"/>
    </w:lvl>
  </w:abstractNum>
  <w:abstractNum w:abstractNumId="7" w15:restartNumberingAfterBreak="0">
    <w:nsid w:val="63381C16"/>
    <w:multiLevelType w:val="hybridMultilevel"/>
    <w:tmpl w:val="6FB04EF0"/>
    <w:lvl w:ilvl="0" w:tplc="C40216BA">
      <w:start w:val="1"/>
      <w:numFmt w:val="decimal"/>
      <w:lvlText w:val="%1."/>
      <w:lvlJc w:val="left"/>
      <w:pPr>
        <w:ind w:left="720" w:hanging="360"/>
      </w:pPr>
    </w:lvl>
    <w:lvl w:ilvl="1" w:tplc="21E493AA">
      <w:numFmt w:val="decimal"/>
      <w:lvlText w:val=""/>
      <w:lvlJc w:val="left"/>
    </w:lvl>
    <w:lvl w:ilvl="2" w:tplc="4DE82B4A">
      <w:numFmt w:val="decimal"/>
      <w:lvlText w:val=""/>
      <w:lvlJc w:val="left"/>
    </w:lvl>
    <w:lvl w:ilvl="3" w:tplc="08283052">
      <w:numFmt w:val="decimal"/>
      <w:lvlText w:val=""/>
      <w:lvlJc w:val="left"/>
    </w:lvl>
    <w:lvl w:ilvl="4" w:tplc="0B309F58">
      <w:numFmt w:val="decimal"/>
      <w:lvlText w:val=""/>
      <w:lvlJc w:val="left"/>
    </w:lvl>
    <w:lvl w:ilvl="5" w:tplc="A274CC04">
      <w:numFmt w:val="decimal"/>
      <w:lvlText w:val=""/>
      <w:lvlJc w:val="left"/>
    </w:lvl>
    <w:lvl w:ilvl="6" w:tplc="5930E1B2">
      <w:numFmt w:val="decimal"/>
      <w:lvlText w:val=""/>
      <w:lvlJc w:val="left"/>
    </w:lvl>
    <w:lvl w:ilvl="7" w:tplc="0068D3F2">
      <w:numFmt w:val="decimal"/>
      <w:lvlText w:val=""/>
      <w:lvlJc w:val="left"/>
    </w:lvl>
    <w:lvl w:ilvl="8" w:tplc="6D58325C">
      <w:numFmt w:val="decimal"/>
      <w:lvlText w:val=""/>
      <w:lvlJc w:val="left"/>
    </w:lvl>
  </w:abstractNum>
  <w:abstractNum w:abstractNumId="8" w15:restartNumberingAfterBreak="0">
    <w:nsid w:val="653E3F24"/>
    <w:multiLevelType w:val="hybridMultilevel"/>
    <w:tmpl w:val="FBCECFB2"/>
    <w:lvl w:ilvl="0" w:tplc="889A17B0">
      <w:start w:val="1"/>
      <w:numFmt w:val="decimal"/>
      <w:lvlText w:val="%1."/>
      <w:lvlJc w:val="left"/>
      <w:pPr>
        <w:ind w:left="720" w:hanging="360"/>
      </w:pPr>
    </w:lvl>
    <w:lvl w:ilvl="1" w:tplc="115A1E14">
      <w:numFmt w:val="decimal"/>
      <w:lvlText w:val=""/>
      <w:lvlJc w:val="left"/>
    </w:lvl>
    <w:lvl w:ilvl="2" w:tplc="54884706">
      <w:numFmt w:val="decimal"/>
      <w:lvlText w:val=""/>
      <w:lvlJc w:val="left"/>
    </w:lvl>
    <w:lvl w:ilvl="3" w:tplc="0FA6B282">
      <w:numFmt w:val="decimal"/>
      <w:lvlText w:val=""/>
      <w:lvlJc w:val="left"/>
    </w:lvl>
    <w:lvl w:ilvl="4" w:tplc="B8F2BEFC">
      <w:numFmt w:val="decimal"/>
      <w:lvlText w:val=""/>
      <w:lvlJc w:val="left"/>
    </w:lvl>
    <w:lvl w:ilvl="5" w:tplc="50F07506">
      <w:numFmt w:val="decimal"/>
      <w:lvlText w:val=""/>
      <w:lvlJc w:val="left"/>
    </w:lvl>
    <w:lvl w:ilvl="6" w:tplc="CD70D04E">
      <w:numFmt w:val="decimal"/>
      <w:lvlText w:val=""/>
      <w:lvlJc w:val="left"/>
    </w:lvl>
    <w:lvl w:ilvl="7" w:tplc="F02415D6">
      <w:numFmt w:val="decimal"/>
      <w:lvlText w:val=""/>
      <w:lvlJc w:val="left"/>
    </w:lvl>
    <w:lvl w:ilvl="8" w:tplc="F2B0D8A6">
      <w:numFmt w:val="decimal"/>
      <w:lvlText w:val=""/>
      <w:lvlJc w:val="left"/>
    </w:lvl>
  </w:abstractNum>
  <w:abstractNum w:abstractNumId="9" w15:restartNumberingAfterBreak="0">
    <w:nsid w:val="654B3577"/>
    <w:multiLevelType w:val="hybridMultilevel"/>
    <w:tmpl w:val="A00A084C"/>
    <w:lvl w:ilvl="0" w:tplc="C616DE04">
      <w:start w:val="1"/>
      <w:numFmt w:val="bullet"/>
      <w:lvlText w:val="●"/>
      <w:lvlJc w:val="left"/>
      <w:pPr>
        <w:ind w:left="720" w:hanging="360"/>
      </w:pPr>
    </w:lvl>
    <w:lvl w:ilvl="1" w:tplc="03CAB1DE">
      <w:start w:val="1"/>
      <w:numFmt w:val="bullet"/>
      <w:lvlText w:val="○"/>
      <w:lvlJc w:val="left"/>
      <w:pPr>
        <w:ind w:left="1440" w:hanging="360"/>
      </w:pPr>
    </w:lvl>
    <w:lvl w:ilvl="2" w:tplc="05FA9BD2">
      <w:start w:val="1"/>
      <w:numFmt w:val="bullet"/>
      <w:lvlText w:val="■"/>
      <w:lvlJc w:val="left"/>
      <w:pPr>
        <w:ind w:left="2160" w:hanging="360"/>
      </w:pPr>
    </w:lvl>
    <w:lvl w:ilvl="3" w:tplc="785031DA">
      <w:start w:val="1"/>
      <w:numFmt w:val="bullet"/>
      <w:lvlText w:val="●"/>
      <w:lvlJc w:val="left"/>
      <w:pPr>
        <w:ind w:left="2880" w:hanging="360"/>
      </w:pPr>
    </w:lvl>
    <w:lvl w:ilvl="4" w:tplc="DAF8FBB4">
      <w:start w:val="1"/>
      <w:numFmt w:val="bullet"/>
      <w:lvlText w:val="○"/>
      <w:lvlJc w:val="left"/>
      <w:pPr>
        <w:ind w:left="3600" w:hanging="360"/>
      </w:pPr>
    </w:lvl>
    <w:lvl w:ilvl="5" w:tplc="EE2E1BFA">
      <w:start w:val="1"/>
      <w:numFmt w:val="bullet"/>
      <w:lvlText w:val="■"/>
      <w:lvlJc w:val="left"/>
      <w:pPr>
        <w:ind w:left="4320" w:hanging="360"/>
      </w:pPr>
    </w:lvl>
    <w:lvl w:ilvl="6" w:tplc="A07E68A8">
      <w:start w:val="1"/>
      <w:numFmt w:val="bullet"/>
      <w:lvlText w:val="●"/>
      <w:lvlJc w:val="left"/>
      <w:pPr>
        <w:ind w:left="5040" w:hanging="360"/>
      </w:pPr>
    </w:lvl>
    <w:lvl w:ilvl="7" w:tplc="5B924F10">
      <w:start w:val="1"/>
      <w:numFmt w:val="bullet"/>
      <w:lvlText w:val="●"/>
      <w:lvlJc w:val="left"/>
      <w:pPr>
        <w:ind w:left="5760" w:hanging="360"/>
      </w:pPr>
    </w:lvl>
    <w:lvl w:ilvl="8" w:tplc="8A14C242">
      <w:start w:val="1"/>
      <w:numFmt w:val="bullet"/>
      <w:lvlText w:val="●"/>
      <w:lvlJc w:val="left"/>
      <w:pPr>
        <w:ind w:left="6480" w:hanging="360"/>
      </w:pPr>
    </w:lvl>
  </w:abstractNum>
  <w:abstractNum w:abstractNumId="10" w15:restartNumberingAfterBreak="0">
    <w:nsid w:val="6ECC58E5"/>
    <w:multiLevelType w:val="hybridMultilevel"/>
    <w:tmpl w:val="43543B42"/>
    <w:lvl w:ilvl="0" w:tplc="9E9C2DFE">
      <w:start w:val="1"/>
      <w:numFmt w:val="decimal"/>
      <w:lvlText w:val="%1."/>
      <w:lvlJc w:val="left"/>
      <w:pPr>
        <w:ind w:left="720" w:hanging="360"/>
      </w:pPr>
    </w:lvl>
    <w:lvl w:ilvl="1" w:tplc="F88CDF6C">
      <w:numFmt w:val="decimal"/>
      <w:lvlText w:val=""/>
      <w:lvlJc w:val="left"/>
    </w:lvl>
    <w:lvl w:ilvl="2" w:tplc="B290B77A">
      <w:numFmt w:val="decimal"/>
      <w:lvlText w:val=""/>
      <w:lvlJc w:val="left"/>
    </w:lvl>
    <w:lvl w:ilvl="3" w:tplc="6696F550">
      <w:numFmt w:val="decimal"/>
      <w:lvlText w:val=""/>
      <w:lvlJc w:val="left"/>
    </w:lvl>
    <w:lvl w:ilvl="4" w:tplc="8E40AD62">
      <w:numFmt w:val="decimal"/>
      <w:lvlText w:val=""/>
      <w:lvlJc w:val="left"/>
    </w:lvl>
    <w:lvl w:ilvl="5" w:tplc="27D6A9C8">
      <w:numFmt w:val="decimal"/>
      <w:lvlText w:val=""/>
      <w:lvlJc w:val="left"/>
    </w:lvl>
    <w:lvl w:ilvl="6" w:tplc="F62CC1AA">
      <w:numFmt w:val="decimal"/>
      <w:lvlText w:val=""/>
      <w:lvlJc w:val="left"/>
    </w:lvl>
    <w:lvl w:ilvl="7" w:tplc="2D84A642">
      <w:numFmt w:val="decimal"/>
      <w:lvlText w:val=""/>
      <w:lvlJc w:val="left"/>
    </w:lvl>
    <w:lvl w:ilvl="8" w:tplc="A6C2CB4C">
      <w:numFmt w:val="decimal"/>
      <w:lvlText w:val=""/>
      <w:lvlJc w:val="left"/>
    </w:lvl>
  </w:abstractNum>
  <w:num w:numId="1" w16cid:durableId="47144724">
    <w:abstractNumId w:val="9"/>
    <w:lvlOverride w:ilvl="0">
      <w:startOverride w:val="1"/>
    </w:lvlOverride>
  </w:num>
  <w:num w:numId="2" w16cid:durableId="1851985925">
    <w:abstractNumId w:val="0"/>
    <w:lvlOverride w:ilvl="0">
      <w:startOverride w:val="1"/>
    </w:lvlOverride>
  </w:num>
  <w:num w:numId="3" w16cid:durableId="752749283">
    <w:abstractNumId w:val="5"/>
    <w:lvlOverride w:ilvl="0">
      <w:startOverride w:val="1"/>
    </w:lvlOverride>
  </w:num>
  <w:num w:numId="4" w16cid:durableId="640890476">
    <w:abstractNumId w:val="6"/>
    <w:lvlOverride w:ilvl="0">
      <w:startOverride w:val="1"/>
    </w:lvlOverride>
  </w:num>
  <w:num w:numId="5" w16cid:durableId="1779176133">
    <w:abstractNumId w:val="2"/>
    <w:lvlOverride w:ilvl="0">
      <w:startOverride w:val="1"/>
    </w:lvlOverride>
  </w:num>
  <w:num w:numId="6" w16cid:durableId="1304429706">
    <w:abstractNumId w:val="1"/>
    <w:lvlOverride w:ilvl="0">
      <w:startOverride w:val="1"/>
    </w:lvlOverride>
  </w:num>
  <w:num w:numId="7" w16cid:durableId="866328463">
    <w:abstractNumId w:val="10"/>
    <w:lvlOverride w:ilvl="0">
      <w:startOverride w:val="1"/>
    </w:lvlOverride>
  </w:num>
  <w:num w:numId="8" w16cid:durableId="2019187919">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B24"/>
    <w:rsid w:val="00260C62"/>
    <w:rsid w:val="005C0B24"/>
    <w:rsid w:val="0087309D"/>
    <w:rsid w:val="00B23C81"/>
    <w:rsid w:val="00D06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69431"/>
  <w15:docId w15:val="{767A123F-63FA-49F8-A9EC-2946529B6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50"/>
      <w:outlineLvl w:val="0"/>
    </w:pPr>
    <w:rPr>
      <w:b/>
      <w:bCs/>
      <w:color w:val="1F4E79"/>
      <w:sz w:val="28"/>
      <w:szCs w:val="28"/>
    </w:rPr>
  </w:style>
  <w:style w:type="paragraph" w:styleId="Heading2">
    <w:name w:val="heading 2"/>
    <w:uiPriority w:val="9"/>
    <w:unhideWhenUsed/>
    <w:qFormat/>
    <w:pPr>
      <w:spacing w:before="250" w:after="100"/>
      <w:outlineLvl w:val="1"/>
    </w:pPr>
    <w:rPr>
      <w:b/>
      <w:bCs/>
      <w:color w:val="2E75B6"/>
      <w:sz w:val="24"/>
      <w:szCs w:val="24"/>
    </w:rPr>
  </w:style>
  <w:style w:type="paragraph" w:styleId="Heading3">
    <w:name w:val="heading 3"/>
    <w:uiPriority w:val="9"/>
    <w:unhideWhenUsed/>
    <w:qFormat/>
    <w:pPr>
      <w:spacing w:before="200" w:after="80"/>
      <w:outlineLvl w:val="2"/>
    </w:pPr>
    <w:rPr>
      <w:b/>
      <w:bCs/>
      <w:color w:val="1F4E7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3776</Words>
  <Characters>26437</Characters>
  <Application>Microsoft Office Word</Application>
  <DocSecurity>0</DocSecurity>
  <Lines>1057</Lines>
  <Paragraphs>629</Paragraphs>
  <ScaleCrop>false</ScaleCrop>
  <Company/>
  <LinksUpToDate>false</LinksUpToDate>
  <CharactersWithSpaces>29584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Fernando (Lou) Villalba, PhD., EdD.</dc:creator>
  <cp:lastModifiedBy>Lou Villalba</cp:lastModifiedBy>
  <cp:revision>4</cp:revision>
  <dcterms:created xsi:type="dcterms:W3CDTF">2025-12-25T06:40:00Z</dcterms:created>
  <dcterms:modified xsi:type="dcterms:W3CDTF">2025-12-25T06:43:00Z</dcterms:modified>
  <dc:title>Corporate Finance and Business Valuation</dc:title>
  <dc:subject>Master of Business Administration in Finance - Finance Course 7 - Course Outline</dc:subject>
  <cp:keywords>MBA in Finance, corporate finance, business valuation, capital allocation, sustainability, OER, AI, Focus University Institute</cp:keywords>
</cp:coreProperties>
</file>