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B6519" w14:textId="77777777" w:rsidR="00B7260F" w:rsidRDefault="003F58B2">
      <w:pPr>
        <w:pStyle w:val="Heading1"/>
        <w:jc w:val="center"/>
      </w:pPr>
      <w:bookmarkStart w:id="0" w:name="focus-university-institute"/>
      <w:r>
        <w:t>Focus University Institute</w:t>
      </w:r>
    </w:p>
    <w:p w14:paraId="4C526DD9" w14:textId="77777777" w:rsidR="00B7260F" w:rsidRDefault="003F58B2">
      <w:pPr>
        <w:pStyle w:val="Heading2"/>
        <w:jc w:val="center"/>
      </w:pPr>
      <w:bookmarkStart w:id="1" w:name="X9e3c384ad6f043bb91ec86d7ce89a863286bdc3"/>
      <w:r>
        <w:t>Master of Business Administration in Finance</w:t>
      </w:r>
    </w:p>
    <w:p w14:paraId="114D066F" w14:textId="77777777" w:rsidR="00B7260F" w:rsidRDefault="003F58B2">
      <w:pPr>
        <w:pStyle w:val="Heading3"/>
        <w:spacing w:after="240"/>
        <w:jc w:val="center"/>
      </w:pPr>
      <w:bookmarkStart w:id="2" w:name="program-vision-mission-and-values"/>
      <w:r>
        <w:t>Program Vision, Mission, and Values</w:t>
      </w:r>
    </w:p>
    <w:p w14:paraId="52FC99AE" w14:textId="77777777" w:rsidR="00B7260F" w:rsidRDefault="003F58B2">
      <w:pPr>
        <w:pStyle w:val="FirstParagraph"/>
      </w:pPr>
      <w:r>
        <w:rPr>
          <w:b/>
          <w:bCs/>
        </w:rPr>
        <w:t>Location:</w:t>
      </w:r>
      <w:r>
        <w:t xml:space="preserve"> Madrid, Spain</w:t>
      </w:r>
      <w:r>
        <w:br/>
      </w:r>
      <w:r>
        <w:rPr>
          <w:b/>
          <w:bCs/>
        </w:rPr>
        <w:t>Program Developer:</w:t>
      </w:r>
      <w:r>
        <w:t xml:space="preserve"> Luis Fernando (Lou) Villalba, PhD., EdD.</w:t>
      </w:r>
      <w:r>
        <w:br/>
      </w:r>
      <w:r>
        <w:rPr>
          <w:b/>
          <w:bCs/>
        </w:rPr>
        <w:t>Status:</w:t>
      </w:r>
      <w:r>
        <w:t xml:space="preserve"> Proposed program-level identity framework for academic-governance and awarding-partner review</w:t>
      </w:r>
      <w:r>
        <w:br/>
      </w:r>
      <w:r>
        <w:rPr>
          <w:b/>
          <w:bCs/>
        </w:rPr>
        <w:t>Academic foundation:</w:t>
      </w:r>
      <w:r>
        <w:t xml:space="preserve"> Six-course MBA common trunk, five advanced finance courses, and an Applied Finance Capstone</w:t>
      </w:r>
    </w:p>
    <w:p w14:paraId="3FA07B62" w14:textId="77777777" w:rsidR="00B7260F" w:rsidRDefault="003F58B2">
      <w:pPr>
        <w:pStyle w:val="Heading2"/>
      </w:pPr>
      <w:bookmarkStart w:id="3" w:name="X6603657b5035d6701806a40d1d306ec0961e75b"/>
      <w:bookmarkEnd w:id="1"/>
      <w:bookmarkEnd w:id="2"/>
      <w:r>
        <w:t>1. Purpose of This Framework</w:t>
      </w:r>
    </w:p>
    <w:p w14:paraId="0AAA29E8" w14:textId="77777777" w:rsidR="00B7260F" w:rsidRDefault="003F58B2">
      <w:pPr>
        <w:pStyle w:val="FirstParagraph"/>
      </w:pPr>
      <w:r>
        <w:t xml:space="preserve">This framework defines the distinctive academic purpose and commitments of the proposed </w:t>
      </w:r>
      <w:r>
        <w:rPr>
          <w:b/>
          <w:bCs/>
        </w:rPr>
        <w:t>Master of Business Administration in Finance</w:t>
      </w:r>
      <w:r>
        <w:t>. It translates Focus University Institute's educational philosophy into a program identity that connects broad business administration with corporate finance and valuation, investment and portfolio management, financial risk management, international finance and development banking, artificial intelligence in finance, sustainability, governance, and applied financial leadership.</w:t>
      </w:r>
    </w:p>
    <w:p w14:paraId="3D1671D0" w14:textId="77777777" w:rsidR="00B7260F" w:rsidRDefault="003F58B2">
      <w:pPr>
        <w:pStyle w:val="BodyText"/>
      </w:pPr>
      <w:r>
        <w:t>The vision, mission, and values guide later decisions concerning program learning outcomes, curriculum and assessment design, teaching and learning, faculty expectations, student experience, partnerships, quality assurance, and public communication. They do not replace formal academic policies, authorized credential language, or the approvals required from academic governance, the awarding institution, and applicable authorities.</w:t>
      </w:r>
    </w:p>
    <w:p w14:paraId="21190BCF" w14:textId="77777777" w:rsidR="00B7260F" w:rsidRDefault="003F58B2">
      <w:pPr>
        <w:pStyle w:val="Heading2"/>
      </w:pPr>
      <w:bookmarkStart w:id="4" w:name="X6664d4a35adc4a545662033cea9a74f7305c5fe"/>
      <w:bookmarkEnd w:id="3"/>
      <w:r>
        <w:t>2. Program Vision</w:t>
      </w:r>
    </w:p>
    <w:p w14:paraId="58E6D678" w14:textId="77777777" w:rsidR="00B7260F" w:rsidRDefault="003F58B2">
      <w:pPr>
        <w:pStyle w:val="BlockText"/>
        <w:pBdr>
          <w:left w:val="single" w:sz="18" w:space="6" w:color="1F4E78"/>
        </w:pBdr>
        <w:shd w:val="clear" w:color="auto" w:fill="D9EAF7"/>
        <w:spacing w:after="160"/>
        <w:ind w:left="230" w:right="173"/>
      </w:pPr>
      <w:r>
        <w:rPr>
          <w:b/>
          <w:bCs/>
          <w:color w:val="1F4E78"/>
        </w:rPr>
        <w:t>To advance a future in which finance strengthens resilient enterprises, inclusive prosperity, and sustainable development across interconnected economies.</w:t>
      </w:r>
    </w:p>
    <w:p w14:paraId="2ABEA45E" w14:textId="77777777" w:rsidR="00B7260F" w:rsidRDefault="003F58B2">
      <w:pPr>
        <w:pStyle w:val="FirstParagraph"/>
      </w:pPr>
      <w:r>
        <w:t>The vision expresses the program's long-term aspiration. It understands finance as both a specialized professional field and a consequential system for allocating resources, valuing opportunities, managing uncertainty, enabling enterprise, supporting development, and shaping outcomes for people, communities, institutions, economies, and the living world.</w:t>
      </w:r>
    </w:p>
    <w:p w14:paraId="6EB47DC4" w14:textId="77777777" w:rsidR="00B7260F" w:rsidRDefault="003F58B2">
      <w:pPr>
        <w:pStyle w:val="Heading2"/>
      </w:pPr>
      <w:bookmarkStart w:id="5" w:name="Xaf79e6e18edf3d0cb657696df1a1ebaee761d47"/>
      <w:bookmarkEnd w:id="4"/>
      <w:r>
        <w:t>3. Program Mission</w:t>
      </w:r>
    </w:p>
    <w:p w14:paraId="1D49BD52" w14:textId="77777777" w:rsidR="00B7260F" w:rsidRDefault="003F58B2">
      <w:pPr>
        <w:pStyle w:val="BlockText"/>
        <w:pBdr>
          <w:left w:val="single" w:sz="18" w:space="6" w:color="1F4E78"/>
        </w:pBdr>
        <w:shd w:val="clear" w:color="auto" w:fill="D9EAF7"/>
        <w:spacing w:after="160"/>
        <w:ind w:left="230" w:right="173"/>
      </w:pPr>
      <w:r>
        <w:rPr>
          <w:b/>
          <w:bCs/>
          <w:color w:val="1F4E78"/>
        </w:rPr>
        <w:t>The Master of Business Administration in Finance prepares globally minded graduates and professionals to exercise rigorous, responsible, and forward-looking financial leadership. Through a broad MBA common trunk and advanced study in corporate finance and valuation, investment and portfolio management, financial risk management, international finance and development banking, artificial intelligence in finance, and an applied capstone, students develop the analytical judgment, global perspective, technologic</w:t>
      </w:r>
      <w:r>
        <w:rPr>
          <w:b/>
          <w:bCs/>
          <w:color w:val="1F4E78"/>
        </w:rPr>
        <w:t>al capability, ethical responsibility, and practical leadership required to allocate capital, evaluate investments, manage risk, support resilient enterprises and financial institutions, advance inclusive and sustainable development, and defend evidence-informed decisions with integrity and accountability.</w:t>
      </w:r>
    </w:p>
    <w:p w14:paraId="30F0A2AB" w14:textId="77777777" w:rsidR="00B7260F" w:rsidRDefault="003F58B2">
      <w:pPr>
        <w:pStyle w:val="FirstParagraph"/>
      </w:pPr>
      <w:r>
        <w:t>The mission gives equal academic respect to financial competence, strategic and managerial integration, professional ethics, sustainability, global and development perspectives, responsible innovation, implementation, and accountability. Graduates are prepared to work across organizational functions, sectors, markets, and countries while recognizing the limits of models, the consequences of financial decisions, and the responsibilities attached to influence over capital and risk.</w:t>
      </w:r>
    </w:p>
    <w:p w14:paraId="1A9D5696" w14:textId="77777777" w:rsidR="00B7260F" w:rsidRDefault="003F58B2">
      <w:pPr>
        <w:pStyle w:val="Heading2"/>
      </w:pPr>
      <w:bookmarkStart w:id="6" w:name="Xc9db54a4d3501fef0eaf0fdd3ab32cd61e6f423"/>
      <w:bookmarkEnd w:id="5"/>
      <w:r>
        <w:t>4. Meaning of Responsible Finance</w:t>
      </w:r>
    </w:p>
    <w:p w14:paraId="210F7184" w14:textId="77777777" w:rsidR="00B7260F" w:rsidRDefault="003F58B2">
      <w:pPr>
        <w:pStyle w:val="FirstParagraph"/>
      </w:pPr>
      <w:r>
        <w:t xml:space="preserve">Within this program, </w:t>
      </w:r>
      <w:r>
        <w:rPr>
          <w:b/>
          <w:bCs/>
        </w:rPr>
        <w:t>responsible finance</w:t>
      </w:r>
      <w:r>
        <w:t xml:space="preserve"> means applying financial knowledge, instruments, institutions, technologies, and professional judgment in ways that are analytically sound, economically and operationally credible, ethically defensible, transparent, attentive to material impacts and dependencies, and accountable for foreseeable consequences.</w:t>
      </w:r>
    </w:p>
    <w:p w14:paraId="68829131" w14:textId="77777777" w:rsidR="00B7260F" w:rsidRDefault="003F58B2">
      <w:pPr>
        <w:pStyle w:val="BodyText"/>
      </w:pPr>
      <w:r>
        <w:t>Responsible finance is not treated as a marketing label or as an assumption that any investment, institution, technology, or development claim is inherently beneficial. Students are expected to:</w:t>
      </w:r>
    </w:p>
    <w:p w14:paraId="74090680" w14:textId="77777777" w:rsidR="00B7260F" w:rsidRDefault="003F58B2">
      <w:pPr>
        <w:pStyle w:val="Compact"/>
        <w:numPr>
          <w:ilvl w:val="0"/>
          <w:numId w:val="2"/>
        </w:numPr>
      </w:pPr>
      <w:r>
        <w:t>distinguish financial facts, estimates, assumptions, scenarios, judgments, and values;</w:t>
      </w:r>
    </w:p>
    <w:p w14:paraId="194B4674" w14:textId="77777777" w:rsidR="00B7260F" w:rsidRDefault="003F58B2">
      <w:pPr>
        <w:pStyle w:val="Compact"/>
        <w:numPr>
          <w:ilvl w:val="0"/>
          <w:numId w:val="2"/>
        </w:numPr>
      </w:pPr>
      <w:r>
        <w:lastRenderedPageBreak/>
        <w:t>connect valuation, return, liquidity, risk, and capital-allocation decisions to strategy, operations, stakeholders, and implementation;</w:t>
      </w:r>
    </w:p>
    <w:p w14:paraId="77DA7D9E" w14:textId="77777777" w:rsidR="00B7260F" w:rsidRDefault="003F58B2">
      <w:pPr>
        <w:pStyle w:val="Compact"/>
        <w:numPr>
          <w:ilvl w:val="0"/>
          <w:numId w:val="2"/>
        </w:numPr>
      </w:pPr>
      <w:r>
        <w:t>evaluate country, currency, sovereign, market, credit, liquidity, operational, model, technological, climate, nature, social, and governance considerations where material;</w:t>
      </w:r>
    </w:p>
    <w:p w14:paraId="1412206B" w14:textId="77777777" w:rsidR="00B7260F" w:rsidRDefault="003F58B2">
      <w:pPr>
        <w:pStyle w:val="Compact"/>
        <w:numPr>
          <w:ilvl w:val="0"/>
          <w:numId w:val="2"/>
        </w:numPr>
      </w:pPr>
      <w:r>
        <w:t>examine additionality, mobilization, debt sustainability, environmental and social safeguards, distributional consequences, and development impact in international and development-finance decisions;</w:t>
      </w:r>
    </w:p>
    <w:p w14:paraId="167272D4" w14:textId="77777777" w:rsidR="00B7260F" w:rsidRDefault="003F58B2">
      <w:pPr>
        <w:pStyle w:val="Compact"/>
        <w:numPr>
          <w:ilvl w:val="0"/>
          <w:numId w:val="2"/>
        </w:numPr>
      </w:pPr>
      <w:r>
        <w:t>protect market integrity, confidentiality, privacy, security, fairness, and appropriate human oversight;</w:t>
      </w:r>
    </w:p>
    <w:p w14:paraId="3FABED35" w14:textId="77777777" w:rsidR="00B7260F" w:rsidRDefault="003F58B2">
      <w:pPr>
        <w:pStyle w:val="Compact"/>
        <w:numPr>
          <w:ilvl w:val="0"/>
          <w:numId w:val="2"/>
        </w:numPr>
      </w:pPr>
      <w:r>
        <w:t>recognize uncertainty, model limitations, conflicts of interest, trade-offs, rebound effects, and unintended consequences;</w:t>
      </w:r>
    </w:p>
    <w:p w14:paraId="41B7DAF4" w14:textId="77777777" w:rsidR="00B7260F" w:rsidRDefault="003F58B2">
      <w:pPr>
        <w:pStyle w:val="Compact"/>
        <w:numPr>
          <w:ilvl w:val="0"/>
          <w:numId w:val="2"/>
        </w:numPr>
      </w:pPr>
      <w:r>
        <w:t>substantiate financial, sustainability, and development claims with credible evidence and defined boundaries; and</w:t>
      </w:r>
    </w:p>
    <w:p w14:paraId="45578E2B" w14:textId="77777777" w:rsidR="00B7260F" w:rsidRDefault="003F58B2">
      <w:pPr>
        <w:pStyle w:val="Compact"/>
        <w:numPr>
          <w:ilvl w:val="0"/>
          <w:numId w:val="2"/>
        </w:numPr>
      </w:pPr>
      <w:r>
        <w:t>revise decisions through monitoring, assurance, reflection, stakeholder dialogue, and professional learning.</w:t>
      </w:r>
    </w:p>
    <w:p w14:paraId="4AF5E50E" w14:textId="77777777" w:rsidR="00B7260F" w:rsidRDefault="003F58B2">
      <w:pPr>
        <w:pStyle w:val="Heading2"/>
      </w:pPr>
      <w:bookmarkStart w:id="7" w:name="X35b2cc45141c93ff651d066ae7af3ad8ce16c54"/>
      <w:bookmarkEnd w:id="6"/>
      <w:r>
        <w:t>5. Program Values</w:t>
      </w:r>
    </w:p>
    <w:p w14:paraId="56613755" w14:textId="77777777" w:rsidR="00B7260F" w:rsidRDefault="003F58B2">
      <w:pPr>
        <w:pStyle w:val="Heading3"/>
      </w:pPr>
      <w:bookmarkStart w:id="8" w:name="X12f370860f05a215f5d1385010dcc9e8fcf5df6"/>
      <w:r>
        <w:t>5.1 Human Dignity and the Common Good</w:t>
      </w:r>
    </w:p>
    <w:p w14:paraId="6A948B46" w14:textId="77777777" w:rsidR="00B7260F" w:rsidRDefault="003F58B2">
      <w:pPr>
        <w:pStyle w:val="FirstParagraph"/>
      </w:pPr>
      <w:r>
        <w:t xml:space="preserve">The program embraces </w:t>
      </w:r>
      <w:r>
        <w:rPr>
          <w:b/>
          <w:bCs/>
        </w:rPr>
        <w:t>an education that celebrates the individual in order to serve the common good</w:t>
      </w:r>
      <w:r>
        <w:t>. Each learner's talents, experience, identity, agency, and aspirations matter. Individual development carries a corresponding responsibility to respect human dignity, contribute to communities, and use financial knowledge and leadership in ways that support shared flourishing.</w:t>
      </w:r>
    </w:p>
    <w:p w14:paraId="5FAFDCA3" w14:textId="77777777" w:rsidR="00B7260F" w:rsidRDefault="003F58B2">
      <w:pPr>
        <w:pStyle w:val="Heading3"/>
      </w:pPr>
      <w:bookmarkStart w:id="9" w:name="X82d0fbf4da0d93a2951edbb2368a96a8ff2aa2a"/>
      <w:bookmarkEnd w:id="8"/>
      <w:r>
        <w:t>5.2 Integrity, Fiduciary Responsibility, and Professional Ethics</w:t>
      </w:r>
    </w:p>
    <w:p w14:paraId="78B03BBE" w14:textId="77777777" w:rsidR="00B7260F" w:rsidRDefault="003F58B2">
      <w:pPr>
        <w:pStyle w:val="FirstParagraph"/>
      </w:pPr>
      <w:r>
        <w:t>Trust is indispensable to finance. The program values honesty, independence of judgment, confidentiality, fairness, market integrity, responsible stewardship of entrusted resources, identification and management of conflicts of interest, and adherence to the spirit as well as the letter of legitimate professional and regulatory obligations.</w:t>
      </w:r>
    </w:p>
    <w:p w14:paraId="1BF0E2C2" w14:textId="77777777" w:rsidR="00B7260F" w:rsidRDefault="003F58B2">
      <w:pPr>
        <w:pStyle w:val="Heading3"/>
      </w:pPr>
      <w:bookmarkStart w:id="10" w:name="Xa459d0393c77c0726b2287e5d31109958f62bbe"/>
      <w:bookmarkEnd w:id="9"/>
      <w:r>
        <w:t>5.3 Analytical Rigor, Evidence, and Transparent Judgment</w:t>
      </w:r>
    </w:p>
    <w:p w14:paraId="0337F456" w14:textId="77777777" w:rsidR="00B7260F" w:rsidRDefault="003F58B2">
      <w:pPr>
        <w:pStyle w:val="FirstParagraph"/>
      </w:pPr>
      <w:r>
        <w:t>Financial leadership requires disciplined quantitative and qualitative reasoning, reliable data, reproducible calculations, appropriate models, clear assumptions, sensitivity and scenario analysis, and honest communication of uncertainty and limitations. Students are expected to distinguish evidence from assertion and to defend decisions without overstating precision or certainty.</w:t>
      </w:r>
    </w:p>
    <w:p w14:paraId="14A54224" w14:textId="77777777" w:rsidR="00B7260F" w:rsidRDefault="003F58B2">
      <w:pPr>
        <w:pStyle w:val="Heading3"/>
      </w:pPr>
      <w:bookmarkStart w:id="11" w:name="X67f8b764ce05ba87e4a2b339060726706f9b610"/>
      <w:bookmarkEnd w:id="10"/>
      <w:r>
        <w:t>5.4 Sustainable Value and Long-Term Stewardship</w:t>
      </w:r>
    </w:p>
    <w:p w14:paraId="22E709B7" w14:textId="77777777" w:rsidR="00B7260F" w:rsidRDefault="003F58B2">
      <w:pPr>
        <w:pStyle w:val="FirstParagraph"/>
      </w:pPr>
      <w:r>
        <w:t>The program values financial decisions that create durable value while recognizing material climate, nature, resource, workforce, community, and governance dependencies, impacts, risks, and opportunities. Students examine time horizons, transition pathways, intergenerational effects, claim integrity, and trade-offs rather than treating sustainability as a separate reporting exercise.</w:t>
      </w:r>
    </w:p>
    <w:p w14:paraId="146C8986" w14:textId="77777777" w:rsidR="00B7260F" w:rsidRDefault="003F58B2">
      <w:pPr>
        <w:pStyle w:val="Heading3"/>
      </w:pPr>
      <w:bookmarkStart w:id="12" w:name="X88b9c6d2f44a517ebee8f814c6264ba2c41ed4d"/>
      <w:bookmarkEnd w:id="11"/>
      <w:r>
        <w:t>5.5 Global Perspective, Development, and Inclusive Prosperity</w:t>
      </w:r>
    </w:p>
    <w:p w14:paraId="22E49D91" w14:textId="77777777" w:rsidR="00B7260F" w:rsidRDefault="003F58B2">
      <w:pPr>
        <w:pStyle w:val="FirstParagraph"/>
      </w:pPr>
      <w:r>
        <w:t>Finance operates across currencies, institutions, legal systems, cultures, and unequal economic conditions. The program values international understanding, development additionality, financial inclusion, debt resilience, responsible capital mobilization, intercultural competence, and collaboration across advanced, emerging, frontier, and lower-income economies.</w:t>
      </w:r>
    </w:p>
    <w:p w14:paraId="377D8CE2" w14:textId="77777777" w:rsidR="00B7260F" w:rsidRDefault="003F58B2">
      <w:pPr>
        <w:pStyle w:val="Heading3"/>
      </w:pPr>
      <w:bookmarkStart w:id="13" w:name="Xa0f6e6fc5abf16c5cbbf6add394c21cf6e73451"/>
      <w:bookmarkEnd w:id="12"/>
      <w:r>
        <w:t>5.6 Prudent Risk, Resilience, and Accountability</w:t>
      </w:r>
    </w:p>
    <w:p w14:paraId="66927F55" w14:textId="77777777" w:rsidR="00B7260F" w:rsidRDefault="003F58B2">
      <w:pPr>
        <w:pStyle w:val="FirstParagraph"/>
      </w:pPr>
      <w:r>
        <w:t>Risk taking is necessary for enterprise and investment, but it must be purposeful, understood, governed, and proportionate. The program values risk awareness, diversification, resilience, stress testing, effective controls, escalation, assurance, accountability, and preparedness for uncertainty, disruption, and unintended consequences.</w:t>
      </w:r>
    </w:p>
    <w:p w14:paraId="1D2BD9CA" w14:textId="77777777" w:rsidR="00B7260F" w:rsidRDefault="003F58B2">
      <w:pPr>
        <w:pStyle w:val="Heading3"/>
      </w:pPr>
      <w:bookmarkStart w:id="14" w:name="X965225e1502bd616ac1b7c4d3b8ef10d7a73f35"/>
      <w:bookmarkEnd w:id="13"/>
      <w:r>
        <w:t>5.7 Responsible Innovation and Human-Centred Artificial Intelligence</w:t>
      </w:r>
    </w:p>
    <w:p w14:paraId="364EE22A" w14:textId="77777777" w:rsidR="00B7260F" w:rsidRDefault="003F58B2">
      <w:pPr>
        <w:pStyle w:val="FirstParagraph"/>
      </w:pPr>
      <w:r>
        <w:t>Artificial intelligence, analytics, and financial technologies should strengthen—not displace—professional judgment and accountability. The program values useful innovation while protecting human agency, explainability, fairness, privacy, security, accessibility, environmental responsibility, appropriate oversight, and the right to question or override automated recommendations.</w:t>
      </w:r>
    </w:p>
    <w:p w14:paraId="0B473F8D" w14:textId="77777777" w:rsidR="00B7260F" w:rsidRDefault="003F58B2">
      <w:pPr>
        <w:pStyle w:val="Heading3"/>
      </w:pPr>
      <w:bookmarkStart w:id="15" w:name="Xb99b8c483e06edd7984730a784e74d7f7b3beaf"/>
      <w:bookmarkEnd w:id="14"/>
      <w:r>
        <w:lastRenderedPageBreak/>
        <w:t>5.8 Leadership, Collaboration, and Continuous Learning</w:t>
      </w:r>
    </w:p>
    <w:p w14:paraId="475DB2FA" w14:textId="77777777" w:rsidR="00B7260F" w:rsidRDefault="003F58B2">
      <w:pPr>
        <w:pStyle w:val="FirstParagraph"/>
      </w:pPr>
      <w:r>
        <w:t>Financial decisions are made within organizations, institutions, markets, public systems, and communities. The program values responsible leadership, constructive challenge, teamwork, intercultural communication, stakeholder engagement, reflective practice, and continuous learning as markets, evidence, standards, technologies, and societal expectations evolve.</w:t>
      </w:r>
    </w:p>
    <w:p w14:paraId="70A807D8" w14:textId="77777777" w:rsidR="00B7260F" w:rsidRDefault="003F58B2">
      <w:pPr>
        <w:pStyle w:val="Heading2"/>
        <w:pageBreakBefore/>
      </w:pPr>
      <w:bookmarkStart w:id="16" w:name="X6788211716936e7ef19571350867b5094643c43"/>
      <w:bookmarkEnd w:id="7"/>
      <w:bookmarkEnd w:id="15"/>
      <w:r>
        <w:lastRenderedPageBreak/>
        <w:t>6. Expression Across the Curriculum</w:t>
      </w:r>
    </w:p>
    <w:p w14:paraId="7941E04D" w14:textId="77777777" w:rsidR="00B7260F" w:rsidRDefault="003F58B2">
      <w:pPr>
        <w:pStyle w:val="FirstParagraph"/>
      </w:pPr>
      <w:r>
        <w:t>The values are embedded across the complete MBA rather than confined to one finance course or one assessment.</w:t>
      </w:r>
    </w:p>
    <w:tbl>
      <w:tblPr>
        <w:tblStyle w:val="Table"/>
        <w:tblW w:w="0" w:type="auto"/>
        <w:jc w:val="center"/>
        <w:tblBorders>
          <w:top w:val="single" w:sz="4" w:space="0" w:color="A6B9C8"/>
          <w:left w:val="single" w:sz="4" w:space="0" w:color="A6B9C8"/>
          <w:bottom w:val="single" w:sz="4" w:space="0" w:color="A6B9C8"/>
          <w:right w:val="single" w:sz="4" w:space="0" w:color="A6B9C8"/>
          <w:insideH w:val="single" w:sz="4" w:space="0" w:color="A6B9C8"/>
          <w:insideV w:val="single" w:sz="4" w:space="0" w:color="A6B9C8"/>
        </w:tblBorders>
        <w:tblLayout w:type="fixed"/>
        <w:tblLook w:val="0020" w:firstRow="1" w:lastRow="0" w:firstColumn="0" w:lastColumn="0" w:noHBand="0" w:noVBand="0"/>
      </w:tblPr>
      <w:tblGrid>
        <w:gridCol w:w="2232"/>
        <w:gridCol w:w="3816"/>
        <w:gridCol w:w="3960"/>
      </w:tblGrid>
      <w:tr w:rsidR="00B7260F" w14:paraId="0801092A" w14:textId="77777777" w:rsidTr="00B7260F">
        <w:trPr>
          <w:cnfStyle w:val="100000000000" w:firstRow="1" w:lastRow="0" w:firstColumn="0" w:lastColumn="0" w:oddVBand="0" w:evenVBand="0" w:oddHBand="0" w:evenHBand="0" w:firstRowFirstColumn="0" w:firstRowLastColumn="0" w:lastRowFirstColumn="0" w:lastRowLastColumn="0"/>
          <w:cantSplit/>
          <w:tblHeader/>
          <w:jc w:val="center"/>
        </w:trPr>
        <w:tc>
          <w:tcPr>
            <w:tcW w:w="2232" w:type="dxa"/>
            <w:shd w:val="clear" w:color="auto" w:fill="1F4E78"/>
            <w:tcMar>
              <w:top w:w="55" w:type="dxa"/>
              <w:left w:w="65" w:type="dxa"/>
              <w:bottom w:w="55" w:type="dxa"/>
              <w:right w:w="65" w:type="dxa"/>
            </w:tcMar>
            <w:vAlign w:val="center"/>
          </w:tcPr>
          <w:p w14:paraId="6F46ED78" w14:textId="77777777" w:rsidR="00B7260F" w:rsidRDefault="003F58B2">
            <w:pPr>
              <w:pStyle w:val="Compact"/>
              <w:spacing w:before="0" w:after="30" w:line="240" w:lineRule="auto"/>
            </w:pPr>
            <w:r>
              <w:rPr>
                <w:b/>
                <w:color w:val="FFFFFF"/>
                <w:sz w:val="15"/>
              </w:rPr>
              <w:t>Program value</w:t>
            </w:r>
          </w:p>
        </w:tc>
        <w:tc>
          <w:tcPr>
            <w:tcW w:w="3816" w:type="dxa"/>
            <w:shd w:val="clear" w:color="auto" w:fill="1F4E78"/>
            <w:tcMar>
              <w:top w:w="55" w:type="dxa"/>
              <w:left w:w="65" w:type="dxa"/>
              <w:bottom w:w="55" w:type="dxa"/>
              <w:right w:w="65" w:type="dxa"/>
            </w:tcMar>
            <w:vAlign w:val="center"/>
          </w:tcPr>
          <w:p w14:paraId="0F110C68" w14:textId="77777777" w:rsidR="00B7260F" w:rsidRDefault="003F58B2">
            <w:pPr>
              <w:pStyle w:val="Compact"/>
              <w:spacing w:before="0" w:after="30" w:line="240" w:lineRule="auto"/>
            </w:pPr>
            <w:r>
              <w:rPr>
                <w:b/>
                <w:color w:val="FFFFFF"/>
                <w:sz w:val="15"/>
              </w:rPr>
              <w:t>Expression in the six-course MBA common trunk</w:t>
            </w:r>
          </w:p>
        </w:tc>
        <w:tc>
          <w:tcPr>
            <w:tcW w:w="3960" w:type="dxa"/>
            <w:shd w:val="clear" w:color="auto" w:fill="1F4E78"/>
            <w:tcMar>
              <w:top w:w="55" w:type="dxa"/>
              <w:left w:w="65" w:type="dxa"/>
              <w:bottom w:w="55" w:type="dxa"/>
              <w:right w:w="65" w:type="dxa"/>
            </w:tcMar>
            <w:vAlign w:val="center"/>
          </w:tcPr>
          <w:p w14:paraId="1C15B658" w14:textId="77777777" w:rsidR="00B7260F" w:rsidRDefault="003F58B2">
            <w:pPr>
              <w:pStyle w:val="Compact"/>
              <w:spacing w:before="0" w:after="30" w:line="240" w:lineRule="auto"/>
            </w:pPr>
            <w:r>
              <w:rPr>
                <w:b/>
                <w:color w:val="FFFFFF"/>
                <w:sz w:val="15"/>
              </w:rPr>
              <w:t>Expression in Finance Courses 7–12</w:t>
            </w:r>
          </w:p>
        </w:tc>
      </w:tr>
      <w:tr w:rsidR="00B7260F" w14:paraId="52B201C6" w14:textId="77777777" w:rsidTr="00B7260F">
        <w:trPr>
          <w:cantSplit/>
          <w:jc w:val="center"/>
        </w:trPr>
        <w:tc>
          <w:tcPr>
            <w:tcW w:w="2232" w:type="dxa"/>
            <w:tcMar>
              <w:top w:w="55" w:type="dxa"/>
              <w:left w:w="65" w:type="dxa"/>
              <w:bottom w:w="55" w:type="dxa"/>
              <w:right w:w="65" w:type="dxa"/>
            </w:tcMar>
            <w:vAlign w:val="center"/>
          </w:tcPr>
          <w:p w14:paraId="2AC956C4" w14:textId="77777777" w:rsidR="00B7260F" w:rsidRDefault="003F58B2">
            <w:pPr>
              <w:pStyle w:val="Compact"/>
              <w:spacing w:before="0" w:after="30" w:line="240" w:lineRule="auto"/>
            </w:pPr>
            <w:r>
              <w:rPr>
                <w:sz w:val="15"/>
              </w:rPr>
              <w:t>Human dignity and the common good</w:t>
            </w:r>
          </w:p>
        </w:tc>
        <w:tc>
          <w:tcPr>
            <w:tcW w:w="3816" w:type="dxa"/>
            <w:tcMar>
              <w:top w:w="55" w:type="dxa"/>
              <w:left w:w="65" w:type="dxa"/>
              <w:bottom w:w="55" w:type="dxa"/>
              <w:right w:w="65" w:type="dxa"/>
            </w:tcMar>
            <w:vAlign w:val="center"/>
          </w:tcPr>
          <w:p w14:paraId="09127420" w14:textId="77777777" w:rsidR="00B7260F" w:rsidRDefault="003F58B2">
            <w:pPr>
              <w:pStyle w:val="Compact"/>
              <w:spacing w:before="0" w:after="30" w:line="240" w:lineRule="auto"/>
            </w:pPr>
            <w:r>
              <w:rPr>
                <w:sz w:val="15"/>
              </w:rPr>
              <w:t>Human-centred AI, ethical management, customer and stakeholder value, inclusive leadership, organizational behaviour, collaboration, and responsible decision-making</w:t>
            </w:r>
          </w:p>
        </w:tc>
        <w:tc>
          <w:tcPr>
            <w:tcW w:w="3960" w:type="dxa"/>
            <w:tcMar>
              <w:top w:w="55" w:type="dxa"/>
              <w:left w:w="65" w:type="dxa"/>
              <w:bottom w:w="55" w:type="dxa"/>
              <w:right w:w="65" w:type="dxa"/>
            </w:tcMar>
            <w:vAlign w:val="center"/>
          </w:tcPr>
          <w:p w14:paraId="23FD97B7" w14:textId="77777777" w:rsidR="00B7260F" w:rsidRDefault="003F58B2">
            <w:pPr>
              <w:pStyle w:val="Compact"/>
              <w:spacing w:before="0" w:after="30" w:line="240" w:lineRule="auto"/>
            </w:pPr>
            <w:r>
              <w:rPr>
                <w:sz w:val="15"/>
              </w:rPr>
              <w:t>Client and beneficiary interests, investor and stakeholder responsibilities, inclusion, affected communities, professional conduct, and accountable capstone relationships</w:t>
            </w:r>
          </w:p>
        </w:tc>
      </w:tr>
      <w:tr w:rsidR="00B7260F" w14:paraId="6BE7524B" w14:textId="77777777" w:rsidTr="00B7260F">
        <w:trPr>
          <w:cantSplit/>
          <w:jc w:val="center"/>
        </w:trPr>
        <w:tc>
          <w:tcPr>
            <w:tcW w:w="2232" w:type="dxa"/>
            <w:shd w:val="clear" w:color="auto" w:fill="F2F2F2"/>
            <w:tcMar>
              <w:top w:w="55" w:type="dxa"/>
              <w:left w:w="65" w:type="dxa"/>
              <w:bottom w:w="55" w:type="dxa"/>
              <w:right w:w="65" w:type="dxa"/>
            </w:tcMar>
            <w:vAlign w:val="center"/>
          </w:tcPr>
          <w:p w14:paraId="11FAEEE9" w14:textId="77777777" w:rsidR="00B7260F" w:rsidRDefault="003F58B2">
            <w:pPr>
              <w:pStyle w:val="Compact"/>
              <w:spacing w:before="0" w:after="30" w:line="240" w:lineRule="auto"/>
            </w:pPr>
            <w:r>
              <w:rPr>
                <w:sz w:val="15"/>
              </w:rPr>
              <w:t>Integrity, fiduciary responsibility, and professional ethics</w:t>
            </w:r>
          </w:p>
        </w:tc>
        <w:tc>
          <w:tcPr>
            <w:tcW w:w="3816" w:type="dxa"/>
            <w:shd w:val="clear" w:color="auto" w:fill="F2F2F2"/>
            <w:tcMar>
              <w:top w:w="55" w:type="dxa"/>
              <w:left w:w="65" w:type="dxa"/>
              <w:bottom w:w="55" w:type="dxa"/>
              <w:right w:w="65" w:type="dxa"/>
            </w:tcMar>
            <w:vAlign w:val="center"/>
          </w:tcPr>
          <w:p w14:paraId="62AC1C49" w14:textId="77777777" w:rsidR="00B7260F" w:rsidRDefault="003F58B2">
            <w:pPr>
              <w:pStyle w:val="Compact"/>
              <w:spacing w:before="0" w:after="30" w:line="240" w:lineRule="auto"/>
            </w:pPr>
            <w:r>
              <w:rPr>
                <w:sz w:val="15"/>
              </w:rPr>
              <w:t>Accounting integrity, responsible governance, privacy, cybersecurity, ethical leadership, transparent communication, and evidence-based management</w:t>
            </w:r>
          </w:p>
        </w:tc>
        <w:tc>
          <w:tcPr>
            <w:tcW w:w="3960" w:type="dxa"/>
            <w:shd w:val="clear" w:color="auto" w:fill="F2F2F2"/>
            <w:tcMar>
              <w:top w:w="55" w:type="dxa"/>
              <w:left w:w="65" w:type="dxa"/>
              <w:bottom w:w="55" w:type="dxa"/>
              <w:right w:w="65" w:type="dxa"/>
            </w:tcMar>
            <w:vAlign w:val="center"/>
          </w:tcPr>
          <w:p w14:paraId="7FC60CD5" w14:textId="77777777" w:rsidR="00B7260F" w:rsidRDefault="003F58B2">
            <w:pPr>
              <w:pStyle w:val="Compact"/>
              <w:spacing w:before="0" w:after="30" w:line="240" w:lineRule="auto"/>
            </w:pPr>
            <w:r>
              <w:rPr>
                <w:sz w:val="15"/>
              </w:rPr>
              <w:t>Valuation integrity, investment duties, risk governance, conflicts of interest, market conduct, development-finance integrity, safeguards, and professional defence</w:t>
            </w:r>
          </w:p>
        </w:tc>
      </w:tr>
      <w:tr w:rsidR="00B7260F" w14:paraId="23CA0A68" w14:textId="77777777" w:rsidTr="00B7260F">
        <w:trPr>
          <w:cantSplit/>
          <w:jc w:val="center"/>
        </w:trPr>
        <w:tc>
          <w:tcPr>
            <w:tcW w:w="2232" w:type="dxa"/>
            <w:tcMar>
              <w:top w:w="55" w:type="dxa"/>
              <w:left w:w="65" w:type="dxa"/>
              <w:bottom w:w="55" w:type="dxa"/>
              <w:right w:w="65" w:type="dxa"/>
            </w:tcMar>
            <w:vAlign w:val="center"/>
          </w:tcPr>
          <w:p w14:paraId="244CFE76" w14:textId="77777777" w:rsidR="00B7260F" w:rsidRDefault="003F58B2">
            <w:pPr>
              <w:pStyle w:val="Compact"/>
              <w:spacing w:before="0" w:after="30" w:line="240" w:lineRule="auto"/>
            </w:pPr>
            <w:r>
              <w:rPr>
                <w:sz w:val="15"/>
              </w:rPr>
              <w:t>Analytical rigor, evidence, and transparent judgment</w:t>
            </w:r>
          </w:p>
        </w:tc>
        <w:tc>
          <w:tcPr>
            <w:tcW w:w="3816" w:type="dxa"/>
            <w:tcMar>
              <w:top w:w="55" w:type="dxa"/>
              <w:left w:w="65" w:type="dxa"/>
              <w:bottom w:w="55" w:type="dxa"/>
              <w:right w:w="65" w:type="dxa"/>
            </w:tcMar>
            <w:vAlign w:val="center"/>
          </w:tcPr>
          <w:p w14:paraId="38CAA80B" w14:textId="77777777" w:rsidR="00B7260F" w:rsidRDefault="003F58B2">
            <w:pPr>
              <w:pStyle w:val="Compact"/>
              <w:spacing w:before="0" w:after="30" w:line="240" w:lineRule="auto"/>
            </w:pPr>
            <w:r>
              <w:rPr>
                <w:sz w:val="15"/>
              </w:rPr>
              <w:t>Accounting and financial analysis, business analytics, AI-output verification, market evidence, strategic reasoning, and data governance</w:t>
            </w:r>
          </w:p>
        </w:tc>
        <w:tc>
          <w:tcPr>
            <w:tcW w:w="3960" w:type="dxa"/>
            <w:tcMar>
              <w:top w:w="55" w:type="dxa"/>
              <w:left w:w="65" w:type="dxa"/>
              <w:bottom w:w="55" w:type="dxa"/>
              <w:right w:w="65" w:type="dxa"/>
            </w:tcMar>
            <w:vAlign w:val="center"/>
          </w:tcPr>
          <w:p w14:paraId="519D8A28" w14:textId="77777777" w:rsidR="00B7260F" w:rsidRDefault="003F58B2">
            <w:pPr>
              <w:pStyle w:val="Compact"/>
              <w:spacing w:before="0" w:after="30" w:line="240" w:lineRule="auto"/>
            </w:pPr>
            <w:r>
              <w:rPr>
                <w:sz w:val="15"/>
              </w:rPr>
              <w:t>Valuation and capital budgeting, portfolio analytics, risk measurement and stress testing, exchange-rate and sovereign analysis, development-project appraisal, AI model evaluation, and auditable capstone evidence</w:t>
            </w:r>
          </w:p>
        </w:tc>
      </w:tr>
      <w:tr w:rsidR="00B7260F" w14:paraId="09C9F83A" w14:textId="77777777" w:rsidTr="00B7260F">
        <w:trPr>
          <w:cantSplit/>
          <w:jc w:val="center"/>
        </w:trPr>
        <w:tc>
          <w:tcPr>
            <w:tcW w:w="2232" w:type="dxa"/>
            <w:shd w:val="clear" w:color="auto" w:fill="F2F2F2"/>
            <w:tcMar>
              <w:top w:w="55" w:type="dxa"/>
              <w:left w:w="65" w:type="dxa"/>
              <w:bottom w:w="55" w:type="dxa"/>
              <w:right w:w="65" w:type="dxa"/>
            </w:tcMar>
            <w:vAlign w:val="center"/>
          </w:tcPr>
          <w:p w14:paraId="18FE0483" w14:textId="77777777" w:rsidR="00B7260F" w:rsidRDefault="003F58B2">
            <w:pPr>
              <w:pStyle w:val="Compact"/>
              <w:spacing w:before="0" w:after="30" w:line="240" w:lineRule="auto"/>
            </w:pPr>
            <w:r>
              <w:rPr>
                <w:sz w:val="15"/>
              </w:rPr>
              <w:t>Sustainable value and long-term stewardship</w:t>
            </w:r>
          </w:p>
        </w:tc>
        <w:tc>
          <w:tcPr>
            <w:tcW w:w="3816" w:type="dxa"/>
            <w:shd w:val="clear" w:color="auto" w:fill="F2F2F2"/>
            <w:tcMar>
              <w:top w:w="55" w:type="dxa"/>
              <w:left w:w="65" w:type="dxa"/>
              <w:bottom w:w="55" w:type="dxa"/>
              <w:right w:w="65" w:type="dxa"/>
            </w:tcMar>
            <w:vAlign w:val="center"/>
          </w:tcPr>
          <w:p w14:paraId="63FFC910" w14:textId="77777777" w:rsidR="00B7260F" w:rsidRDefault="003F58B2">
            <w:pPr>
              <w:pStyle w:val="Compact"/>
              <w:spacing w:before="0" w:after="30" w:line="240" w:lineRule="auto"/>
            </w:pPr>
            <w:r>
              <w:rPr>
                <w:sz w:val="15"/>
              </w:rPr>
              <w:t>Sustainability integrated into finance, strategy, marketing, governance, operations, leadership, organizational transformation, and AI decisions</w:t>
            </w:r>
          </w:p>
        </w:tc>
        <w:tc>
          <w:tcPr>
            <w:tcW w:w="3960" w:type="dxa"/>
            <w:shd w:val="clear" w:color="auto" w:fill="F2F2F2"/>
            <w:tcMar>
              <w:top w:w="55" w:type="dxa"/>
              <w:left w:w="65" w:type="dxa"/>
              <w:bottom w:w="55" w:type="dxa"/>
              <w:right w:w="65" w:type="dxa"/>
            </w:tcMar>
            <w:vAlign w:val="center"/>
          </w:tcPr>
          <w:p w14:paraId="66D162D8" w14:textId="77777777" w:rsidR="00B7260F" w:rsidRDefault="003F58B2">
            <w:pPr>
              <w:pStyle w:val="Compact"/>
              <w:spacing w:before="0" w:after="30" w:line="240" w:lineRule="auto"/>
            </w:pPr>
            <w:r>
              <w:rPr>
                <w:sz w:val="15"/>
              </w:rPr>
              <w:t>Sustainable valuation and capital allocation, portfolio mandates and stewardship, climate and nature risk, sustainable development finance, safeguards, impact integrity, and long-horizon capstone decisions</w:t>
            </w:r>
          </w:p>
        </w:tc>
      </w:tr>
      <w:tr w:rsidR="00B7260F" w14:paraId="45007B0E" w14:textId="77777777" w:rsidTr="00B7260F">
        <w:trPr>
          <w:cantSplit/>
          <w:jc w:val="center"/>
        </w:trPr>
        <w:tc>
          <w:tcPr>
            <w:tcW w:w="2232" w:type="dxa"/>
            <w:tcMar>
              <w:top w:w="55" w:type="dxa"/>
              <w:left w:w="65" w:type="dxa"/>
              <w:bottom w:w="55" w:type="dxa"/>
              <w:right w:w="65" w:type="dxa"/>
            </w:tcMar>
            <w:vAlign w:val="center"/>
          </w:tcPr>
          <w:p w14:paraId="244470EF" w14:textId="77777777" w:rsidR="00B7260F" w:rsidRDefault="003F58B2">
            <w:pPr>
              <w:pStyle w:val="Compact"/>
              <w:spacing w:before="0" w:after="30" w:line="240" w:lineRule="auto"/>
            </w:pPr>
            <w:r>
              <w:rPr>
                <w:sz w:val="15"/>
              </w:rPr>
              <w:t>Global perspective, development, and inclusive prosperity</w:t>
            </w:r>
          </w:p>
        </w:tc>
        <w:tc>
          <w:tcPr>
            <w:tcW w:w="3816" w:type="dxa"/>
            <w:tcMar>
              <w:top w:w="55" w:type="dxa"/>
              <w:left w:w="65" w:type="dxa"/>
              <w:bottom w:w="55" w:type="dxa"/>
              <w:right w:w="65" w:type="dxa"/>
            </w:tcMar>
            <w:vAlign w:val="center"/>
          </w:tcPr>
          <w:p w14:paraId="70AD4C93" w14:textId="77777777" w:rsidR="00B7260F" w:rsidRDefault="003F58B2">
            <w:pPr>
              <w:pStyle w:val="Compact"/>
              <w:spacing w:before="0" w:after="30" w:line="240" w:lineRule="auto"/>
            </w:pPr>
            <w:r>
              <w:rPr>
                <w:sz w:val="15"/>
              </w:rPr>
              <w:t>Global strategy, geoeconomics, international growth, intercultural management, inclusive marketing, and distributed collaboration</w:t>
            </w:r>
          </w:p>
        </w:tc>
        <w:tc>
          <w:tcPr>
            <w:tcW w:w="3960" w:type="dxa"/>
            <w:tcMar>
              <w:top w:w="55" w:type="dxa"/>
              <w:left w:w="65" w:type="dxa"/>
              <w:bottom w:w="55" w:type="dxa"/>
              <w:right w:w="65" w:type="dxa"/>
            </w:tcMar>
            <w:vAlign w:val="center"/>
          </w:tcPr>
          <w:p w14:paraId="435F95BE" w14:textId="77777777" w:rsidR="00B7260F" w:rsidRDefault="003F58B2">
            <w:pPr>
              <w:pStyle w:val="Compact"/>
              <w:spacing w:before="0" w:after="30" w:line="240" w:lineRule="auto"/>
            </w:pPr>
            <w:r>
              <w:rPr>
                <w:sz w:val="15"/>
              </w:rPr>
              <w:t>International monetary and financial systems, foreign exchange, country and sovereign risk, IBRD, IDA, IFC, MIGA, development-bank operations, blended finance, debt sustainability, and inclusive development</w:t>
            </w:r>
          </w:p>
        </w:tc>
      </w:tr>
      <w:tr w:rsidR="00B7260F" w14:paraId="42C1948C" w14:textId="77777777" w:rsidTr="00B7260F">
        <w:trPr>
          <w:cantSplit/>
          <w:jc w:val="center"/>
        </w:trPr>
        <w:tc>
          <w:tcPr>
            <w:tcW w:w="2232" w:type="dxa"/>
            <w:shd w:val="clear" w:color="auto" w:fill="F2F2F2"/>
            <w:tcMar>
              <w:top w:w="55" w:type="dxa"/>
              <w:left w:w="65" w:type="dxa"/>
              <w:bottom w:w="55" w:type="dxa"/>
              <w:right w:w="65" w:type="dxa"/>
            </w:tcMar>
            <w:vAlign w:val="center"/>
          </w:tcPr>
          <w:p w14:paraId="3E7DAA8B" w14:textId="77777777" w:rsidR="00B7260F" w:rsidRDefault="003F58B2">
            <w:pPr>
              <w:pStyle w:val="Compact"/>
              <w:spacing w:before="0" w:after="30" w:line="240" w:lineRule="auto"/>
            </w:pPr>
            <w:r>
              <w:rPr>
                <w:sz w:val="15"/>
              </w:rPr>
              <w:t>Prudent risk, resilience, and accountability</w:t>
            </w:r>
          </w:p>
        </w:tc>
        <w:tc>
          <w:tcPr>
            <w:tcW w:w="3816" w:type="dxa"/>
            <w:shd w:val="clear" w:color="auto" w:fill="F2F2F2"/>
            <w:tcMar>
              <w:top w:w="55" w:type="dxa"/>
              <w:left w:w="65" w:type="dxa"/>
              <w:bottom w:w="55" w:type="dxa"/>
              <w:right w:w="65" w:type="dxa"/>
            </w:tcMar>
            <w:vAlign w:val="center"/>
          </w:tcPr>
          <w:p w14:paraId="760463E5" w14:textId="77777777" w:rsidR="00B7260F" w:rsidRDefault="003F58B2">
            <w:pPr>
              <w:pStyle w:val="Compact"/>
              <w:spacing w:before="0" w:after="30" w:line="240" w:lineRule="auto"/>
            </w:pPr>
            <w:r>
              <w:rPr>
                <w:sz w:val="15"/>
              </w:rPr>
              <w:t>Enterprise governance, cybersecurity, operational resilience, scenario analysis, responsible leadership, and organizational adaptability</w:t>
            </w:r>
          </w:p>
        </w:tc>
        <w:tc>
          <w:tcPr>
            <w:tcW w:w="3960" w:type="dxa"/>
            <w:shd w:val="clear" w:color="auto" w:fill="F2F2F2"/>
            <w:tcMar>
              <w:top w:w="55" w:type="dxa"/>
              <w:left w:w="65" w:type="dxa"/>
              <w:bottom w:w="55" w:type="dxa"/>
              <w:right w:w="65" w:type="dxa"/>
            </w:tcMar>
            <w:vAlign w:val="center"/>
          </w:tcPr>
          <w:p w14:paraId="21793A62" w14:textId="77777777" w:rsidR="00B7260F" w:rsidRDefault="003F58B2">
            <w:pPr>
              <w:pStyle w:val="Compact"/>
              <w:spacing w:before="0" w:after="30" w:line="240" w:lineRule="auto"/>
            </w:pPr>
            <w:r>
              <w:rPr>
                <w:sz w:val="15"/>
              </w:rPr>
              <w:t>Market, credit, liquidity, operational, model, country, sovereign, currency, climate, and development-project risk; limits, controls, stress testing, supervision, assurance, and accountability</w:t>
            </w:r>
          </w:p>
        </w:tc>
      </w:tr>
      <w:tr w:rsidR="00B7260F" w14:paraId="62C14701" w14:textId="77777777" w:rsidTr="00B7260F">
        <w:trPr>
          <w:cantSplit/>
          <w:jc w:val="center"/>
        </w:trPr>
        <w:tc>
          <w:tcPr>
            <w:tcW w:w="2232" w:type="dxa"/>
            <w:tcMar>
              <w:top w:w="55" w:type="dxa"/>
              <w:left w:w="65" w:type="dxa"/>
              <w:bottom w:w="55" w:type="dxa"/>
              <w:right w:w="65" w:type="dxa"/>
            </w:tcMar>
            <w:vAlign w:val="center"/>
          </w:tcPr>
          <w:p w14:paraId="176C9BA0" w14:textId="77777777" w:rsidR="00B7260F" w:rsidRDefault="003F58B2">
            <w:pPr>
              <w:pStyle w:val="Compact"/>
              <w:spacing w:before="0" w:after="30" w:line="240" w:lineRule="auto"/>
            </w:pPr>
            <w:r>
              <w:rPr>
                <w:sz w:val="15"/>
              </w:rPr>
              <w:t>Responsible innovation and human-centred artificial intelligence</w:t>
            </w:r>
          </w:p>
        </w:tc>
        <w:tc>
          <w:tcPr>
            <w:tcW w:w="3816" w:type="dxa"/>
            <w:tcMar>
              <w:top w:w="55" w:type="dxa"/>
              <w:left w:w="65" w:type="dxa"/>
              <w:bottom w:w="55" w:type="dxa"/>
              <w:right w:w="65" w:type="dxa"/>
            </w:tcMar>
            <w:vAlign w:val="center"/>
          </w:tcPr>
          <w:p w14:paraId="3C9AF7A8" w14:textId="77777777" w:rsidR="00B7260F" w:rsidRDefault="003F58B2">
            <w:pPr>
              <w:pStyle w:val="Compact"/>
              <w:spacing w:before="0" w:after="30" w:line="240" w:lineRule="auto"/>
            </w:pPr>
            <w:r>
              <w:rPr>
                <w:sz w:val="15"/>
              </w:rPr>
              <w:t>AI literacy, human–AI collaboration, digital business models, analytics, responsible governance, cybersecurity, and future-of-work design</w:t>
            </w:r>
          </w:p>
        </w:tc>
        <w:tc>
          <w:tcPr>
            <w:tcW w:w="3960" w:type="dxa"/>
            <w:tcMar>
              <w:top w:w="55" w:type="dxa"/>
              <w:left w:w="65" w:type="dxa"/>
              <w:bottom w:w="55" w:type="dxa"/>
              <w:right w:w="65" w:type="dxa"/>
            </w:tcMar>
            <w:vAlign w:val="center"/>
          </w:tcPr>
          <w:p w14:paraId="201BBA28" w14:textId="77777777" w:rsidR="00B7260F" w:rsidRDefault="003F58B2">
            <w:pPr>
              <w:pStyle w:val="Compact"/>
              <w:spacing w:before="0" w:after="30" w:line="240" w:lineRule="auto"/>
            </w:pPr>
            <w:r>
              <w:rPr>
                <w:sz w:val="15"/>
              </w:rPr>
              <w:t>Responsible AI in valuation, investment, risk, banking, forecasting, research, monitoring, and decision support, with explainability, validation, human oversight, security, and model governance</w:t>
            </w:r>
          </w:p>
        </w:tc>
      </w:tr>
      <w:tr w:rsidR="00B7260F" w14:paraId="3CDB4917" w14:textId="77777777" w:rsidTr="00B7260F">
        <w:trPr>
          <w:cantSplit/>
          <w:jc w:val="center"/>
        </w:trPr>
        <w:tc>
          <w:tcPr>
            <w:tcW w:w="2232" w:type="dxa"/>
            <w:shd w:val="clear" w:color="auto" w:fill="F2F2F2"/>
            <w:tcMar>
              <w:top w:w="55" w:type="dxa"/>
              <w:left w:w="65" w:type="dxa"/>
              <w:bottom w:w="55" w:type="dxa"/>
              <w:right w:w="65" w:type="dxa"/>
            </w:tcMar>
            <w:vAlign w:val="center"/>
          </w:tcPr>
          <w:p w14:paraId="2BCDCD3A" w14:textId="77777777" w:rsidR="00B7260F" w:rsidRDefault="003F58B2">
            <w:pPr>
              <w:pStyle w:val="Compact"/>
              <w:spacing w:before="0" w:after="30" w:line="240" w:lineRule="auto"/>
            </w:pPr>
            <w:r>
              <w:rPr>
                <w:sz w:val="15"/>
              </w:rPr>
              <w:t>Leadership, collaboration, and continuous learning</w:t>
            </w:r>
          </w:p>
        </w:tc>
        <w:tc>
          <w:tcPr>
            <w:tcW w:w="3816" w:type="dxa"/>
            <w:shd w:val="clear" w:color="auto" w:fill="F2F2F2"/>
            <w:tcMar>
              <w:top w:w="55" w:type="dxa"/>
              <w:left w:w="65" w:type="dxa"/>
              <w:bottom w:w="55" w:type="dxa"/>
              <w:right w:w="65" w:type="dxa"/>
            </w:tcMar>
            <w:vAlign w:val="center"/>
          </w:tcPr>
          <w:p w14:paraId="1146F813" w14:textId="77777777" w:rsidR="00B7260F" w:rsidRDefault="003F58B2">
            <w:pPr>
              <w:pStyle w:val="Compact"/>
              <w:spacing w:before="0" w:after="30" w:line="240" w:lineRule="auto"/>
            </w:pPr>
            <w:r>
              <w:rPr>
                <w:sz w:val="15"/>
              </w:rPr>
              <w:t>Strategy, communication, teamwork, negotiation, organizational transformation, reflective leadership, and evidence-informed improvement</w:t>
            </w:r>
          </w:p>
        </w:tc>
        <w:tc>
          <w:tcPr>
            <w:tcW w:w="3960" w:type="dxa"/>
            <w:shd w:val="clear" w:color="auto" w:fill="F2F2F2"/>
            <w:tcMar>
              <w:top w:w="55" w:type="dxa"/>
              <w:left w:w="65" w:type="dxa"/>
              <w:bottom w:w="55" w:type="dxa"/>
              <w:right w:w="65" w:type="dxa"/>
            </w:tcMar>
            <w:vAlign w:val="center"/>
          </w:tcPr>
          <w:p w14:paraId="6AA7A7BF" w14:textId="77777777" w:rsidR="00B7260F" w:rsidRDefault="003F58B2">
            <w:pPr>
              <w:pStyle w:val="Compact"/>
              <w:spacing w:before="0" w:after="30" w:line="240" w:lineRule="auto"/>
            </w:pPr>
            <w:r>
              <w:rPr>
                <w:sz w:val="15"/>
              </w:rPr>
              <w:t>Investment, credit, treasury, risk, development-bank, and board decision simulations; stakeholder engagement; executive communication; oral defence; monitoring; and adaptive financial leadership</w:t>
            </w:r>
          </w:p>
        </w:tc>
      </w:tr>
    </w:tbl>
    <w:p w14:paraId="438FD71D" w14:textId="77777777" w:rsidR="00B7260F" w:rsidRDefault="003F58B2">
      <w:pPr>
        <w:pStyle w:val="Heading2"/>
      </w:pPr>
      <w:bookmarkStart w:id="17" w:name="Xa7a223e79eea554e90918986f3fb1b5584e5b87"/>
      <w:bookmarkEnd w:id="16"/>
      <w:r>
        <w:t>7. Educational Commitments</w:t>
      </w:r>
    </w:p>
    <w:p w14:paraId="003C52A0" w14:textId="77777777" w:rsidR="00B7260F" w:rsidRDefault="003F58B2">
      <w:pPr>
        <w:pStyle w:val="FirstParagraph"/>
      </w:pPr>
      <w:r>
        <w:t>The program enacts its vision, mission, and values through the following commitments:</w:t>
      </w:r>
    </w:p>
    <w:p w14:paraId="253A647F" w14:textId="77777777" w:rsidR="00B7260F" w:rsidRDefault="003F58B2">
      <w:pPr>
        <w:pStyle w:val="Compact"/>
        <w:numPr>
          <w:ilvl w:val="0"/>
          <w:numId w:val="3"/>
        </w:numPr>
      </w:pPr>
      <w:r>
        <w:rPr>
          <w:b/>
          <w:bCs/>
        </w:rPr>
        <w:t>Full-function MBA foundation.</w:t>
      </w:r>
      <w:r>
        <w:t xml:space="preserve"> </w:t>
      </w:r>
      <w:r>
        <w:t>Finance specialization is built on broad graduate competence in accounting, strategy, marketing, governance, technology, leadership, organizational transformation, and the principal functions of business administration.</w:t>
      </w:r>
    </w:p>
    <w:p w14:paraId="4C2E2199" w14:textId="77777777" w:rsidR="00B7260F" w:rsidRDefault="003F58B2">
      <w:pPr>
        <w:pStyle w:val="Compact"/>
        <w:numPr>
          <w:ilvl w:val="0"/>
          <w:numId w:val="3"/>
        </w:numPr>
      </w:pPr>
      <w:r>
        <w:rPr>
          <w:b/>
          <w:bCs/>
        </w:rPr>
        <w:t>Master's-level financial rigor.</w:t>
      </w:r>
      <w:r>
        <w:t xml:space="preserve"> Students critically evaluate evidence, integrate theory and practice, perform and challenge advanced analysis, make decisions under uncertainty, and defend professional judgments.</w:t>
      </w:r>
    </w:p>
    <w:p w14:paraId="20CBBB0F" w14:textId="77777777" w:rsidR="00B7260F" w:rsidRDefault="003F58B2">
      <w:pPr>
        <w:pStyle w:val="Compact"/>
        <w:numPr>
          <w:ilvl w:val="0"/>
          <w:numId w:val="3"/>
        </w:numPr>
      </w:pPr>
      <w:r>
        <w:rPr>
          <w:b/>
          <w:bCs/>
        </w:rPr>
        <w:t>International and development-finance competence.</w:t>
      </w:r>
      <w:r>
        <w:t xml:space="preserve"> </w:t>
      </w:r>
      <w:r>
        <w:t>Students examine global monetary and financial systems, foreign exchange, country and sovereign risk, multinational finance, treasury, trade finance, and the operations and accountability of development-finance institutions.</w:t>
      </w:r>
    </w:p>
    <w:p w14:paraId="42D3E512" w14:textId="77777777" w:rsidR="00B7260F" w:rsidRDefault="003F58B2">
      <w:pPr>
        <w:pStyle w:val="Compact"/>
        <w:numPr>
          <w:ilvl w:val="0"/>
          <w:numId w:val="3"/>
        </w:numPr>
      </w:pPr>
      <w:r>
        <w:rPr>
          <w:b/>
          <w:bCs/>
        </w:rPr>
        <w:t>Sustainability integrated into finance.</w:t>
      </w:r>
      <w:r>
        <w:t xml:space="preserve"> Sustainability is assessed through financially and developmentally material pathways, including cash flows, capital allocation, risk, resilience, stewardship, debt sustainability, safeguards, impact, and implementation.</w:t>
      </w:r>
    </w:p>
    <w:p w14:paraId="5607CD56" w14:textId="77777777" w:rsidR="00B7260F" w:rsidRDefault="003F58B2">
      <w:pPr>
        <w:pStyle w:val="Compact"/>
        <w:numPr>
          <w:ilvl w:val="0"/>
          <w:numId w:val="3"/>
        </w:numPr>
      </w:pPr>
      <w:r>
        <w:rPr>
          <w:b/>
          <w:bCs/>
        </w:rPr>
        <w:t>Responsible artificial intelligence.</w:t>
      </w:r>
      <w:r>
        <w:t xml:space="preserve"> AI supports analysis, research, forecasting, communication, and decision processes while students retain responsibility for evidence, models, professional judgment, ethics, and consequences.</w:t>
      </w:r>
    </w:p>
    <w:p w14:paraId="045D485E" w14:textId="77777777" w:rsidR="00B7260F" w:rsidRDefault="003F58B2">
      <w:pPr>
        <w:pStyle w:val="Compact"/>
        <w:numPr>
          <w:ilvl w:val="0"/>
          <w:numId w:val="3"/>
        </w:numPr>
      </w:pPr>
      <w:r>
        <w:rPr>
          <w:b/>
          <w:bCs/>
        </w:rPr>
        <w:t>Purposeful applied learning.</w:t>
      </w:r>
      <w:r>
        <w:t xml:space="preserve"> Cases, simulations, financial models, investment and risk committees, development-project appraisal, projects, and oral defence are used when they advance the learning outcomes and complement theoretical and conceptual study.</w:t>
      </w:r>
    </w:p>
    <w:p w14:paraId="09ADF5C0" w14:textId="77777777" w:rsidR="00B7260F" w:rsidRDefault="003F58B2">
      <w:pPr>
        <w:pStyle w:val="Compact"/>
        <w:numPr>
          <w:ilvl w:val="0"/>
          <w:numId w:val="3"/>
        </w:numPr>
      </w:pPr>
      <w:r>
        <w:rPr>
          <w:b/>
          <w:bCs/>
        </w:rPr>
        <w:t>Evidence, transparency, and claim integrity.</w:t>
      </w:r>
      <w:r>
        <w:t xml:space="preserve"> Students document sources, assumptions, methods, uncertainty, limitations, and AI use; distinguish verified performance from aspiration; and avoid unsupported financial, sustainability, or development claims.</w:t>
      </w:r>
    </w:p>
    <w:p w14:paraId="71B971AE" w14:textId="77777777" w:rsidR="00B7260F" w:rsidRDefault="003F58B2">
      <w:pPr>
        <w:pStyle w:val="Compact"/>
        <w:numPr>
          <w:ilvl w:val="0"/>
          <w:numId w:val="3"/>
        </w:numPr>
      </w:pPr>
      <w:r>
        <w:rPr>
          <w:b/>
          <w:bCs/>
        </w:rPr>
        <w:lastRenderedPageBreak/>
        <w:t>Global inclusion and intercultural learning.</w:t>
      </w:r>
      <w:r>
        <w:t xml:space="preserve"> </w:t>
      </w:r>
      <w:r>
        <w:t>Comparative cases, diverse perspectives, international institutions, Madrid-based opportunities, online and blended participation, and collaboration across countries support a globally inclusive learning community.</w:t>
      </w:r>
    </w:p>
    <w:p w14:paraId="724B237C" w14:textId="77777777" w:rsidR="00B7260F" w:rsidRDefault="003F58B2">
      <w:pPr>
        <w:pStyle w:val="Compact"/>
        <w:numPr>
          <w:ilvl w:val="0"/>
          <w:numId w:val="3"/>
        </w:numPr>
      </w:pPr>
      <w:r>
        <w:rPr>
          <w:b/>
          <w:bCs/>
        </w:rPr>
        <w:t>Reflection, assurance, and improvement.</w:t>
      </w:r>
      <w:r>
        <w:t xml:space="preserve"> Students and faculty use feedback, assessment evidence, monitoring, professional standards, stakeholder dialogue, and changes in knowledge and practice to improve decisions, courses, and the program.</w:t>
      </w:r>
    </w:p>
    <w:p w14:paraId="479D2EE1" w14:textId="77777777" w:rsidR="00B7260F" w:rsidRDefault="003F58B2">
      <w:pPr>
        <w:pStyle w:val="Heading2"/>
        <w:pageBreakBefore/>
      </w:pPr>
      <w:bookmarkStart w:id="18" w:name="X58f16bb08d466fa7cc25c7481035e852cbea0b5"/>
      <w:bookmarkEnd w:id="17"/>
      <w:r>
        <w:lastRenderedPageBreak/>
        <w:t>8. Concise Program Identity</w:t>
      </w:r>
    </w:p>
    <w:p w14:paraId="741C37B1" w14:textId="77777777" w:rsidR="00B7260F" w:rsidRDefault="003F58B2">
      <w:pPr>
        <w:pStyle w:val="Heading3"/>
      </w:pPr>
      <w:bookmarkStart w:id="19" w:name="vision"/>
      <w:r>
        <w:t>Vision</w:t>
      </w:r>
    </w:p>
    <w:p w14:paraId="799165DA" w14:textId="77777777" w:rsidR="00B7260F" w:rsidRDefault="003F58B2">
      <w:pPr>
        <w:pStyle w:val="FirstParagraph"/>
      </w:pPr>
      <w:r>
        <w:rPr>
          <w:b/>
          <w:bCs/>
        </w:rPr>
        <w:t>Finance strengthening resilient enterprises, inclusive prosperity, and sustainable development across interconnected economies.</w:t>
      </w:r>
    </w:p>
    <w:p w14:paraId="59FD5368" w14:textId="77777777" w:rsidR="00B7260F" w:rsidRDefault="003F58B2">
      <w:pPr>
        <w:pStyle w:val="Heading3"/>
      </w:pPr>
      <w:bookmarkStart w:id="20" w:name="mission"/>
      <w:bookmarkEnd w:id="19"/>
      <w:r>
        <w:t>Mission</w:t>
      </w:r>
    </w:p>
    <w:p w14:paraId="66759652" w14:textId="77777777" w:rsidR="00B7260F" w:rsidRDefault="003F58B2">
      <w:pPr>
        <w:pStyle w:val="FirstParagraph"/>
      </w:pPr>
      <w:r>
        <w:rPr>
          <w:b/>
          <w:bCs/>
        </w:rPr>
        <w:t>To prepare globally minded financial leaders who integrate rigorous analysis, responsible investment and capital allocation, risk management, international and development finance, sustainability, artificial intelligence, ethical judgment, and practical implementation.</w:t>
      </w:r>
    </w:p>
    <w:p w14:paraId="4814A3F3" w14:textId="77777777" w:rsidR="00B7260F" w:rsidRDefault="003F58B2">
      <w:pPr>
        <w:pStyle w:val="Heading3"/>
      </w:pPr>
      <w:bookmarkStart w:id="21" w:name="values"/>
      <w:bookmarkEnd w:id="20"/>
      <w:r>
        <w:t>Values</w:t>
      </w:r>
    </w:p>
    <w:p w14:paraId="5AE28B26" w14:textId="77777777" w:rsidR="00B7260F" w:rsidRDefault="003F58B2">
      <w:pPr>
        <w:pStyle w:val="FirstParagraph"/>
      </w:pPr>
      <w:r>
        <w:rPr>
          <w:b/>
          <w:bCs/>
        </w:rPr>
        <w:t>Human dignity and the common good; integrity, fiduciary responsibility, and professional ethics; analytical rigor, evidence, and transparent judgment; sustainable value and long-term stewardship; global perspective, development, and inclusive prosperity; prudent risk, resilience, and accountability; responsible innovation and human-centred artificial intelligence; and leadership, collaboration, and continuous learning.</w:t>
      </w:r>
    </w:p>
    <w:p w14:paraId="400123E5" w14:textId="77777777" w:rsidR="00B7260F" w:rsidRDefault="003F58B2">
      <w:pPr>
        <w:pStyle w:val="Heading2"/>
      </w:pPr>
      <w:bookmarkStart w:id="22" w:name="X75b3e205c55aff1177fb8f3be887df8ab743425"/>
      <w:bookmarkEnd w:id="18"/>
      <w:bookmarkEnd w:id="21"/>
      <w:r>
        <w:t>9. Approval and Review</w:t>
      </w:r>
    </w:p>
    <w:p w14:paraId="06CAE209" w14:textId="77777777" w:rsidR="00B7260F" w:rsidRDefault="003F58B2">
      <w:pPr>
        <w:pStyle w:val="FirstParagraph"/>
      </w:pPr>
      <w:r>
        <w:t>This framework is a proposed program-level academic identity. The final wording should be confirmed alongside:</w:t>
      </w:r>
    </w:p>
    <w:p w14:paraId="304E1E94" w14:textId="77777777" w:rsidR="00B7260F" w:rsidRDefault="003F58B2">
      <w:pPr>
        <w:pStyle w:val="Compact"/>
        <w:numPr>
          <w:ilvl w:val="0"/>
          <w:numId w:val="4"/>
        </w:numPr>
      </w:pPr>
      <w:r>
        <w:t>the legally and academically authorized program title;</w:t>
      </w:r>
    </w:p>
    <w:p w14:paraId="3FF7ED28" w14:textId="77777777" w:rsidR="00B7260F" w:rsidRDefault="003F58B2">
      <w:pPr>
        <w:pStyle w:val="Compact"/>
        <w:numPr>
          <w:ilvl w:val="0"/>
          <w:numId w:val="4"/>
        </w:numPr>
      </w:pPr>
      <w:r>
        <w:t>the awarding arrangement and applicable regulatory status;</w:t>
      </w:r>
    </w:p>
    <w:p w14:paraId="2551E5C2" w14:textId="77777777" w:rsidR="00B7260F" w:rsidRDefault="003F58B2">
      <w:pPr>
        <w:pStyle w:val="Compact"/>
        <w:numPr>
          <w:ilvl w:val="0"/>
          <w:numId w:val="4"/>
        </w:numPr>
      </w:pPr>
      <w:r>
        <w:t>the program learning outcomes and assurance-of-learning framework;</w:t>
      </w:r>
    </w:p>
    <w:p w14:paraId="51E80F3A" w14:textId="77777777" w:rsidR="00B7260F" w:rsidRDefault="003F58B2">
      <w:pPr>
        <w:pStyle w:val="Compact"/>
        <w:numPr>
          <w:ilvl w:val="0"/>
          <w:numId w:val="4"/>
        </w:numPr>
      </w:pPr>
      <w:r>
        <w:t>the six common-trunk and six finance-course outlines;</w:t>
      </w:r>
    </w:p>
    <w:p w14:paraId="4E9D1669" w14:textId="77777777" w:rsidR="00B7260F" w:rsidRDefault="003F58B2">
      <w:pPr>
        <w:pStyle w:val="Compact"/>
        <w:numPr>
          <w:ilvl w:val="0"/>
          <w:numId w:val="4"/>
        </w:numPr>
      </w:pPr>
      <w:r>
        <w:t>admissions, progression, completion, and credential requirements;</w:t>
      </w:r>
    </w:p>
    <w:p w14:paraId="7B719B06" w14:textId="77777777" w:rsidR="00B7260F" w:rsidRDefault="003F58B2">
      <w:pPr>
        <w:pStyle w:val="Compact"/>
        <w:numPr>
          <w:ilvl w:val="0"/>
          <w:numId w:val="4"/>
        </w:numPr>
      </w:pPr>
      <w:r>
        <w:t>faculty qualifications and academic-governance responsibilities; and</w:t>
      </w:r>
    </w:p>
    <w:p w14:paraId="50553010" w14:textId="77777777" w:rsidR="00B7260F" w:rsidRDefault="003F58B2">
      <w:pPr>
        <w:pStyle w:val="Compact"/>
        <w:numPr>
          <w:ilvl w:val="0"/>
          <w:numId w:val="4"/>
        </w:numPr>
      </w:pPr>
      <w:r>
        <w:t>accurate public, partner, recruitment, transcript, and credential language.</w:t>
      </w:r>
    </w:p>
    <w:p w14:paraId="6F21AB74" w14:textId="77777777" w:rsidR="00B7260F" w:rsidRDefault="003F58B2">
      <w:pPr>
        <w:pStyle w:val="FirstParagraph"/>
      </w:pPr>
      <w:r>
        <w:t>Following approval, the vision, mission, and values should be reviewed periodically using curriculum and assessment evidence, student and graduate outcomes, faculty review, partner and stakeholder feedback, relevant research, and changes in financial markets, development-finance practice, sustainability evidence, professional standards, technology, and regulation.</w:t>
      </w:r>
      <w:bookmarkEnd w:id="0"/>
      <w:bookmarkEnd w:id="22"/>
    </w:p>
    <w:sectPr w:rsidR="00B7260F">
      <w:headerReference w:type="default" r:id="rId7"/>
      <w:footerReference w:type="default" r:id="rId8"/>
      <w:pgSz w:w="11906" w:h="16838"/>
      <w:pgMar w:top="893" w:right="893" w:bottom="893" w:left="893" w:header="389" w:footer="3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F760F" w14:textId="77777777" w:rsidR="003F58B2" w:rsidRDefault="003F58B2">
      <w:pPr>
        <w:spacing w:after="0" w:line="240" w:lineRule="auto"/>
      </w:pPr>
      <w:r>
        <w:separator/>
      </w:r>
    </w:p>
  </w:endnote>
  <w:endnote w:type="continuationSeparator" w:id="0">
    <w:p w14:paraId="1DB2F364" w14:textId="77777777" w:rsidR="003F58B2" w:rsidRDefault="003F5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0A1F2" w14:textId="77777777" w:rsidR="00B7260F" w:rsidRDefault="003F58B2">
    <w:pPr>
      <w:jc w:val="center"/>
    </w:pPr>
    <w:r>
      <w:rPr>
        <w:color w:val="666666"/>
        <w:sz w:val="16"/>
      </w:rPr>
      <w:t xml:space="preserve">Program Vision, Mission, and </w:t>
    </w:r>
    <w:proofErr w:type="gramStart"/>
    <w:r>
      <w:rPr>
        <w:color w:val="666666"/>
        <w:sz w:val="16"/>
      </w:rPr>
      <w:t>Values  •</w:t>
    </w:r>
    <w:proofErr w:type="gramEnd"/>
    <w:r>
      <w:rPr>
        <w:color w:val="666666"/>
        <w:sz w:val="16"/>
      </w:rPr>
      <w:t xml:space="preserve">  Page </w:t>
    </w:r>
    <w:r>
      <w:rPr>
        <w:color w:val="666666"/>
        <w:sz w:val="16"/>
      </w:rPr>
      <w:fldChar w:fldCharType="begin"/>
    </w:r>
    <w:r>
      <w:rPr>
        <w:color w:val="666666"/>
        <w:sz w:val="16"/>
      </w:rPr>
      <w:instrText xml:space="preserve"> PAGE </w:instrText>
    </w:r>
    <w:r>
      <w:rPr>
        <w:color w:val="666666"/>
        <w:sz w:val="16"/>
      </w:rPr>
      <w:fldChar w:fldCharType="separate"/>
    </w:r>
    <w:r>
      <w:rPr>
        <w:color w:val="666666"/>
        <w:sz w:val="16"/>
      </w:rPr>
      <w:t>1</w:t>
    </w:r>
    <w:r>
      <w:rPr>
        <w:color w:val="666666"/>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7A6C4" w14:textId="77777777" w:rsidR="003F58B2" w:rsidRDefault="003F58B2">
      <w:r>
        <w:separator/>
      </w:r>
    </w:p>
  </w:footnote>
  <w:footnote w:type="continuationSeparator" w:id="0">
    <w:p w14:paraId="1C38448A" w14:textId="77777777" w:rsidR="003F58B2" w:rsidRDefault="003F58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5DB94" w14:textId="77777777" w:rsidR="00B7260F" w:rsidRDefault="003F58B2">
    <w:pPr>
      <w:jc w:val="right"/>
    </w:pPr>
    <w:r>
      <w:rPr>
        <w:b/>
        <w:color w:val="1F4E78"/>
        <w:sz w:val="14"/>
      </w:rPr>
      <w:t xml:space="preserve">FOCUS UNIVERSITY </w:t>
    </w:r>
    <w:proofErr w:type="gramStart"/>
    <w:r>
      <w:rPr>
        <w:b/>
        <w:color w:val="1F4E78"/>
        <w:sz w:val="14"/>
      </w:rPr>
      <w:t>INSTITUTE  |</w:t>
    </w:r>
    <w:proofErr w:type="gramEnd"/>
    <w:r>
      <w:rPr>
        <w:b/>
        <w:color w:val="1F4E78"/>
        <w:sz w:val="14"/>
      </w:rPr>
      <w:t xml:space="preserve">  MASTER OF BUSINESS ADMINISTRATION IN FINANCE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7DD23F9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2C0C0D0E"/>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6936CA80"/>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 w16cid:durableId="2075815707">
    <w:abstractNumId w:val="0"/>
  </w:num>
  <w:num w:numId="2" w16cid:durableId="1942105658">
    <w:abstractNumId w:val="1"/>
  </w:num>
  <w:num w:numId="3" w16cid:durableId="20872185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5054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60F"/>
    <w:rsid w:val="000F3CE4"/>
    <w:rsid w:val="003F58B2"/>
    <w:rsid w:val="006F0B49"/>
    <w:rsid w:val="00B7260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BC963"/>
  <w15:docId w15:val="{1096C1A7-35D2-4C63-89EA-8D3AE3081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00" w:line="252" w:lineRule="auto"/>
    </w:pPr>
    <w:rPr>
      <w:rFonts w:ascii="Aptos" w:eastAsia="Aptos" w:hAnsi="Aptos"/>
      <w:sz w:val="19"/>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sz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after="80"/>
      <w:jc w:val="center"/>
    </w:pPr>
    <w:rPr>
      <w:rFonts w:asciiTheme="majorHAnsi" w:eastAsiaTheme="majorEastAsia" w:hAnsiTheme="majorHAnsi" w:cstheme="majorBidi"/>
      <w:b/>
      <w:bCs/>
      <w:color w:val="1F4E78"/>
      <w:sz w:val="44"/>
      <w:szCs w:val="36"/>
    </w:rPr>
  </w:style>
  <w:style w:type="paragraph" w:styleId="Subtitle">
    <w:name w:val="Subtitle"/>
    <w:basedOn w:val="Title"/>
    <w:next w:val="BodyText"/>
    <w:qFormat/>
    <w:pPr>
      <w:spacing w:before="240" w:after="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2353</Words>
  <Characters>13414</Characters>
  <Application>Microsoft Office Word</Application>
  <DocSecurity>0</DocSecurity>
  <Lines>111</Lines>
  <Paragraphs>31</Paragraphs>
  <ScaleCrop>false</ScaleCrop>
  <Company/>
  <LinksUpToDate>false</LinksUpToDate>
  <CharactersWithSpaces>15736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of Business Administration in Finance: Program Vision, Mission, and Values</dc:title>
  <dc:subject>Proposed program-level identity framework for academic-governance and awarding-partner review</dc:subject>
  <dc:creator>Luis Fernando (Lou) Villalba, PhD., EdD.</dc:creator>
  <cp:keywords>MBA in Finance, vision, mission, values, corporate finance, investment, risk management, international finance, development banking, artificial intelligence, sustainability, common good</cp:keywords>
  <cp:lastModifiedBy>Lou Villalba</cp:lastModifiedBy>
  <cp:revision>2</cp:revision>
  <dcterms:created xsi:type="dcterms:W3CDTF">2026-08-11T16:49:00Z</dcterms:created>
  <dcterms:modified xsi:type="dcterms:W3CDTF">2026-08-11T16:49:00Z</dcterms:modified>
</cp:coreProperties>
</file>