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2AF4B" w14:textId="77777777" w:rsidR="00D82EB8" w:rsidRDefault="00D568B3">
      <w:pPr>
        <w:pStyle w:val="Heading1"/>
        <w:jc w:val="center"/>
      </w:pPr>
      <w:bookmarkStart w:id="0" w:name="focus-spain"/>
      <w:r>
        <w:t>Focus Spain</w:t>
      </w:r>
    </w:p>
    <w:p w14:paraId="013B8AEB" w14:textId="77777777" w:rsidR="00D82EB8" w:rsidRDefault="00D568B3">
      <w:pPr>
        <w:pStyle w:val="Heading2"/>
        <w:jc w:val="center"/>
      </w:pPr>
      <w:bookmarkStart w:id="1" w:name="institutional-learning-outcomes"/>
      <w:r>
        <w:t>Institutional Learning Outcomes</w:t>
      </w:r>
    </w:p>
    <w:p w14:paraId="644D1576" w14:textId="77777777" w:rsidR="00D82EB8" w:rsidRDefault="00D568B3">
      <w:pPr>
        <w:pStyle w:val="Heading3"/>
        <w:jc w:val="center"/>
      </w:pPr>
      <w:bookmarkStart w:id="2" w:name="X92b9750951113d15f6e8c832fd07396289c90d1"/>
      <w:r>
        <w:t>What every Focus Spain graduate should be able to do</w:t>
      </w:r>
    </w:p>
    <w:p w14:paraId="7C3D43A1" w14:textId="77777777" w:rsidR="00D82EB8" w:rsidRDefault="00D568B3">
      <w:pPr>
        <w:pStyle w:val="FirstParagraph"/>
      </w:pPr>
      <w:r>
        <w:t>Focus Spain prepares learners to apply knowledge with sound judgment, professional responsibility, and an international outlook. The following Institutional Learning Outcomes describe the broad capabilities that students develop across Focus Spain programs.</w:t>
      </w:r>
    </w:p>
    <w:p w14:paraId="55587524" w14:textId="77777777" w:rsidR="00D82EB8" w:rsidRDefault="00D568B3">
      <w:pPr>
        <w:pStyle w:val="BodyText"/>
      </w:pPr>
      <w:r>
        <w:t>The level and complexity expected will reflect each student's credential and field of study. Programs translate these institution-wide outcomes into discipline-specific learning outcomes, courses, learning experiences, and assessments.</w:t>
      </w:r>
    </w:p>
    <w:p w14:paraId="3D92D772" w14:textId="77777777" w:rsidR="00D82EB8" w:rsidRDefault="00D568B3">
      <w:pPr>
        <w:pStyle w:val="Heading2"/>
        <w:pBdr>
          <w:left w:val="single" w:sz="16" w:space="5" w:color="1F4E78"/>
        </w:pBdr>
        <w:spacing w:after="60"/>
      </w:pPr>
      <w:bookmarkStart w:id="3" w:name="Xc59da6f075790c8a98bc2c103089573e7f2f645"/>
      <w:bookmarkEnd w:id="1"/>
      <w:bookmarkEnd w:id="2"/>
      <w:r>
        <w:t>ILO 1 — Integrated Knowledge and Critical Judgment</w:t>
      </w:r>
    </w:p>
    <w:p w14:paraId="4560036F" w14:textId="77777777" w:rsidR="00D82EB8" w:rsidRDefault="00D568B3">
      <w:pPr>
        <w:pStyle w:val="FirstParagraph"/>
        <w:keepNext/>
      </w:pPr>
      <w:r>
        <w:t xml:space="preserve">Graduates will be able to </w:t>
      </w:r>
      <w:r>
        <w:rPr>
          <w:b/>
          <w:bCs/>
        </w:rPr>
        <w:t>integrate relevant disciplinary and interdisciplinary knowledge to analyze information, question assumptions, evaluate alternatives, and reach well-supported conclusions</w:t>
      </w:r>
      <w:r>
        <w:t>.</w:t>
      </w:r>
    </w:p>
    <w:p w14:paraId="0F709D0F" w14:textId="77777777" w:rsidR="00D82EB8" w:rsidRDefault="00D568B3">
      <w:pPr>
        <w:pStyle w:val="BodyText"/>
      </w:pPr>
      <w:r>
        <w:t>This outcome means that learners can connect theory with practice, distinguish strong evidence from weak evidence, recognize uncertainty, and make reasoned judgments about complex questions.</w:t>
      </w:r>
    </w:p>
    <w:p w14:paraId="6E45F2DB" w14:textId="77777777" w:rsidR="00D82EB8" w:rsidRDefault="00D568B3">
      <w:pPr>
        <w:pStyle w:val="Heading2"/>
        <w:pBdr>
          <w:left w:val="single" w:sz="16" w:space="5" w:color="1F4E78"/>
        </w:pBdr>
        <w:spacing w:after="60"/>
      </w:pPr>
      <w:bookmarkStart w:id="4" w:name="X4f56ba031b94ca82eda54456cd69fd635252f96"/>
      <w:bookmarkEnd w:id="3"/>
      <w:r>
        <w:t>ILO 2 — Applied Problem-Solving and Innovation</w:t>
      </w:r>
    </w:p>
    <w:p w14:paraId="0C82B46C" w14:textId="77777777" w:rsidR="00D82EB8" w:rsidRDefault="00D568B3">
      <w:pPr>
        <w:pStyle w:val="FirstParagraph"/>
        <w:keepNext/>
      </w:pPr>
      <w:r>
        <w:t xml:space="preserve">Graduates will be able to </w:t>
      </w:r>
      <w:r>
        <w:rPr>
          <w:b/>
          <w:bCs/>
        </w:rPr>
        <w:t>develop and implement practical, creative, and evidence-informed responses to complex real-world problems</w:t>
      </w:r>
      <w:r>
        <w:t>.</w:t>
      </w:r>
    </w:p>
    <w:p w14:paraId="0D504644" w14:textId="77777777" w:rsidR="00D82EB8" w:rsidRDefault="00D568B3">
      <w:pPr>
        <w:pStyle w:val="BodyText"/>
      </w:pPr>
      <w:r>
        <w:t>Learners are expected to define problems clearly, consider alternative solutions, test feasibility, and translate ideas into responsible action. Innovation may involve improving an existing process, service, organization, or community initiative as well as creating something new.</w:t>
      </w:r>
    </w:p>
    <w:p w14:paraId="5BA44690" w14:textId="77777777" w:rsidR="00D82EB8" w:rsidRDefault="00D568B3">
      <w:pPr>
        <w:pStyle w:val="Heading2"/>
        <w:pBdr>
          <w:left w:val="single" w:sz="16" w:space="5" w:color="1F4E78"/>
        </w:pBdr>
        <w:spacing w:after="60"/>
      </w:pPr>
      <w:bookmarkStart w:id="5" w:name="X780bdc4360457638d91716d696e78ecb7c6a30d"/>
      <w:bookmarkEnd w:id="4"/>
      <w:r>
        <w:t>ILO 3 — Research, Data, and Responsible Digital Capability</w:t>
      </w:r>
    </w:p>
    <w:p w14:paraId="4833F46E" w14:textId="77777777" w:rsidR="00D82EB8" w:rsidRDefault="00D568B3">
      <w:pPr>
        <w:pStyle w:val="FirstParagraph"/>
        <w:keepNext/>
      </w:pPr>
      <w:r>
        <w:t xml:space="preserve">Graduates will be able to </w:t>
      </w:r>
      <w:r>
        <w:rPr>
          <w:b/>
          <w:bCs/>
        </w:rPr>
        <w:t>locate, evaluate, analyze, and ethically use research, data, digital tools, and artificial intelligence to support learning, decision-making, and professional practice</w:t>
      </w:r>
      <w:r>
        <w:t>.</w:t>
      </w:r>
    </w:p>
    <w:p w14:paraId="0C34EBF1" w14:textId="77777777" w:rsidR="00D82EB8" w:rsidRDefault="00D568B3">
      <w:pPr>
        <w:pStyle w:val="BodyText"/>
      </w:pPr>
      <w:r>
        <w:t>This includes selecting credible sources, applying appropriate methods, interpreting quantitative and qualitative information, protecting privacy, acknowledging the use of AI, and taking responsibility for the accuracy and integrity of submitted work.</w:t>
      </w:r>
    </w:p>
    <w:p w14:paraId="654C3711" w14:textId="77777777" w:rsidR="00D82EB8" w:rsidRDefault="00D568B3">
      <w:pPr>
        <w:pStyle w:val="Heading2"/>
        <w:pBdr>
          <w:left w:val="single" w:sz="16" w:space="5" w:color="1F4E78"/>
        </w:pBdr>
        <w:spacing w:after="60"/>
      </w:pPr>
      <w:bookmarkStart w:id="6" w:name="ilo-4--communication-and-collaboration"/>
      <w:bookmarkEnd w:id="5"/>
      <w:r>
        <w:t>ILO 4 — Communication and Collaboration</w:t>
      </w:r>
    </w:p>
    <w:p w14:paraId="37E9820F" w14:textId="77777777" w:rsidR="00D82EB8" w:rsidRDefault="00D568B3">
      <w:pPr>
        <w:pStyle w:val="FirstParagraph"/>
        <w:keepNext/>
      </w:pPr>
      <w:r>
        <w:t xml:space="preserve">Graduates will be able to </w:t>
      </w:r>
      <w:r>
        <w:rPr>
          <w:b/>
          <w:bCs/>
        </w:rPr>
        <w:t>communicate ideas clearly and persuasively in written, oral, visual, and digital forms and collaborate effectively with diverse teams and stakeholders</w:t>
      </w:r>
      <w:r>
        <w:t>.</w:t>
      </w:r>
    </w:p>
    <w:p w14:paraId="142F4F18" w14:textId="77777777" w:rsidR="00D82EB8" w:rsidRDefault="00D568B3">
      <w:pPr>
        <w:pStyle w:val="BodyText"/>
      </w:pPr>
      <w:r>
        <w:t>Learners adapt their communication to different audiences, listen actively, contribute responsibly to shared work, respond constructively to feedback, and help teams achieve common goals.</w:t>
      </w:r>
    </w:p>
    <w:p w14:paraId="75FA16CB" w14:textId="77777777" w:rsidR="00D82EB8" w:rsidRDefault="00D568B3">
      <w:pPr>
        <w:pStyle w:val="Heading2"/>
        <w:pBdr>
          <w:left w:val="single" w:sz="16" w:space="5" w:color="1F4E78"/>
        </w:pBdr>
        <w:spacing w:after="60"/>
      </w:pPr>
      <w:bookmarkStart w:id="7" w:name="X07763e1ee8dfa380c3e4b021e114bf4abbeb2b8"/>
      <w:bookmarkEnd w:id="6"/>
      <w:r>
        <w:t>ILO 5 — Ethical Leadership and Professional Responsibility</w:t>
      </w:r>
    </w:p>
    <w:p w14:paraId="16496A1A" w14:textId="77777777" w:rsidR="00D82EB8" w:rsidRDefault="00D568B3">
      <w:pPr>
        <w:pStyle w:val="FirstParagraph"/>
        <w:keepNext/>
      </w:pPr>
      <w:r>
        <w:t xml:space="preserve">Graduates will be able to </w:t>
      </w:r>
      <w:r>
        <w:rPr>
          <w:b/>
          <w:bCs/>
        </w:rPr>
        <w:t>exercise integrity, sound judgment, accountability, initiative, and leadership in complex academic, professional, and organizational contexts</w:t>
      </w:r>
      <w:r>
        <w:t>.</w:t>
      </w:r>
    </w:p>
    <w:p w14:paraId="197820C5" w14:textId="77777777" w:rsidR="00D82EB8" w:rsidRDefault="00D568B3">
      <w:pPr>
        <w:pStyle w:val="BodyText"/>
      </w:pPr>
      <w:r>
        <w:t>This outcome includes considering the consequences of decisions, respecting applicable standards and responsibilities, addressing ethical tensions, and acting with appropriate independence while remaining accountable to others.</w:t>
      </w:r>
    </w:p>
    <w:p w14:paraId="308DD752" w14:textId="77777777" w:rsidR="00D82EB8" w:rsidRDefault="00D568B3">
      <w:pPr>
        <w:pStyle w:val="Heading2"/>
        <w:pBdr>
          <w:left w:val="single" w:sz="16" w:space="5" w:color="1F4E78"/>
        </w:pBdr>
        <w:spacing w:after="60"/>
      </w:pPr>
      <w:bookmarkStart w:id="8" w:name="X66f9d31f7b50b705c3175783ff70f4f271ee4e5"/>
      <w:bookmarkEnd w:id="7"/>
      <w:r>
        <w:lastRenderedPageBreak/>
        <w:t>ILO 6 — Global and Intercultural Competence</w:t>
      </w:r>
    </w:p>
    <w:p w14:paraId="4C8A2FA4" w14:textId="77777777" w:rsidR="00D82EB8" w:rsidRDefault="00D568B3">
      <w:pPr>
        <w:pStyle w:val="FirstParagraph"/>
        <w:keepNext/>
      </w:pPr>
      <w:r>
        <w:t xml:space="preserve">Graduates will be able to </w:t>
      </w:r>
      <w:r>
        <w:rPr>
          <w:b/>
          <w:bCs/>
        </w:rPr>
        <w:t>analyze issues across international and cultural contexts, engage respectfully across differences, and adapt decisions and actions to diverse stakeholders and environments</w:t>
      </w:r>
      <w:r>
        <w:t>.</w:t>
      </w:r>
    </w:p>
    <w:p w14:paraId="6C529206" w14:textId="77777777" w:rsidR="00D82EB8" w:rsidRDefault="00D568B3">
      <w:pPr>
        <w:pStyle w:val="BodyText"/>
      </w:pPr>
      <w:r>
        <w:t>Learners recognize that assumptions, institutions, markets, communities, and professional practices vary across cultures and jurisdictions. They use this understanding to participate effectively in an interconnected world.</w:t>
      </w:r>
    </w:p>
    <w:p w14:paraId="36B8DC27" w14:textId="77777777" w:rsidR="00D82EB8" w:rsidRDefault="00D568B3">
      <w:pPr>
        <w:pStyle w:val="Heading2"/>
        <w:pBdr>
          <w:left w:val="single" w:sz="16" w:space="5" w:color="1F4E78"/>
        </w:pBdr>
        <w:spacing w:after="60"/>
      </w:pPr>
      <w:bookmarkStart w:id="9" w:name="X40222b0d884782bcd6012bbf80ce1bda38cf8c7"/>
      <w:bookmarkEnd w:id="8"/>
      <w:r>
        <w:t>ILO 7 — Sustainability and Long-Term Value</w:t>
      </w:r>
    </w:p>
    <w:p w14:paraId="6CE29444" w14:textId="77777777" w:rsidR="00D82EB8" w:rsidRDefault="00D568B3">
      <w:pPr>
        <w:pStyle w:val="FirstParagraph"/>
        <w:keepNext/>
      </w:pPr>
      <w:r>
        <w:t xml:space="preserve">Graduates will be able to </w:t>
      </w:r>
      <w:r>
        <w:rPr>
          <w:b/>
          <w:bCs/>
        </w:rPr>
        <w:t>evaluate the economic, environmental, and social consequences of decisions and develop strategies that support resilience, long-term performance, and sustainable development</w:t>
      </w:r>
      <w:r>
        <w:t>.</w:t>
      </w:r>
    </w:p>
    <w:p w14:paraId="4B5ED536" w14:textId="77777777" w:rsidR="00D82EB8" w:rsidRDefault="00D568B3">
      <w:pPr>
        <w:pStyle w:val="BodyText"/>
      </w:pPr>
      <w:r>
        <w:t>Learners examine trade-offs, consider present and future stakeholders, use appropriate evidence and indicators, and identify opportunities to create enduring value for organizations and society.</w:t>
      </w:r>
    </w:p>
    <w:p w14:paraId="102650A9" w14:textId="77777777" w:rsidR="00D82EB8" w:rsidRDefault="00D568B3">
      <w:pPr>
        <w:pStyle w:val="Heading2"/>
        <w:pageBreakBefore/>
      </w:pPr>
      <w:bookmarkStart w:id="10" w:name="X9ffc7334980bb03036db296b88e6829b8cfa9e5"/>
      <w:bookmarkEnd w:id="9"/>
      <w:r>
        <w:lastRenderedPageBreak/>
        <w:t>How Focus Spain Assesses the Institutional Learning Outcomes</w:t>
      </w:r>
    </w:p>
    <w:p w14:paraId="28F12748" w14:textId="77777777" w:rsidR="00D82EB8" w:rsidRDefault="00D568B3">
      <w:pPr>
        <w:pStyle w:val="FirstParagraph"/>
      </w:pPr>
      <w:r>
        <w:t>Students demonstrate these outcomes through meaningful work completed during their programs. Depending on the program, evidence may include examinations, case analyses, research assignments, presentations, team projects, simulations, portfolios, work-integrated learning, and capstone projects.</w:t>
      </w:r>
    </w:p>
    <w:p w14:paraId="467CBE5C" w14:textId="77777777" w:rsidR="00D82EB8" w:rsidRDefault="00D568B3">
      <w:pPr>
        <w:pStyle w:val="BodyText"/>
      </w:pPr>
      <w:r>
        <w:t>Programs identify where each ILO is introduced, developed, and demonstrated. Faculty assess selected student work using clear criteria appropriate to the credential level and discipline. Results are considered collectively to improve courses, learning experiences, student support, and assessment practices.</w:t>
      </w:r>
    </w:p>
    <w:tbl>
      <w:tblPr>
        <w:tblStyle w:val="Table"/>
        <w:tblW w:w="0" w:type="auto"/>
        <w:jc w:val="center"/>
        <w:tblBorders>
          <w:top w:val="single" w:sz="4" w:space="0" w:color="A6B9C8"/>
          <w:left w:val="single" w:sz="4" w:space="0" w:color="A6B9C8"/>
          <w:bottom w:val="single" w:sz="4" w:space="0" w:color="A6B9C8"/>
          <w:right w:val="single" w:sz="4" w:space="0" w:color="A6B9C8"/>
          <w:insideH w:val="single" w:sz="4" w:space="0" w:color="A6B9C8"/>
          <w:insideV w:val="single" w:sz="4" w:space="0" w:color="A6B9C8"/>
        </w:tblBorders>
        <w:tblLayout w:type="fixed"/>
        <w:tblLook w:val="0020" w:firstRow="1" w:lastRow="0" w:firstColumn="0" w:lastColumn="0" w:noHBand="0" w:noVBand="0"/>
      </w:tblPr>
      <w:tblGrid>
        <w:gridCol w:w="2117"/>
        <w:gridCol w:w="2909"/>
        <w:gridCol w:w="3168"/>
        <w:gridCol w:w="1886"/>
      </w:tblGrid>
      <w:tr w:rsidR="00D82EB8" w14:paraId="6E8ED5EC" w14:textId="77777777" w:rsidTr="00D82EB8">
        <w:trPr>
          <w:cnfStyle w:val="100000000000" w:firstRow="1" w:lastRow="0" w:firstColumn="0" w:lastColumn="0" w:oddVBand="0" w:evenVBand="0" w:oddHBand="0" w:evenHBand="0" w:firstRowFirstColumn="0" w:firstRowLastColumn="0" w:lastRowFirstColumn="0" w:lastRowLastColumn="0"/>
          <w:cantSplit/>
          <w:tblHeader/>
          <w:jc w:val="center"/>
        </w:trPr>
        <w:tc>
          <w:tcPr>
            <w:tcW w:w="2117" w:type="dxa"/>
            <w:shd w:val="clear" w:color="auto" w:fill="1F4E78"/>
            <w:tcMar>
              <w:top w:w="55" w:type="dxa"/>
              <w:left w:w="65" w:type="dxa"/>
              <w:bottom w:w="55" w:type="dxa"/>
              <w:right w:w="65" w:type="dxa"/>
            </w:tcMar>
            <w:vAlign w:val="center"/>
          </w:tcPr>
          <w:p w14:paraId="3A9FBB05" w14:textId="77777777" w:rsidR="00D82EB8" w:rsidRDefault="00D568B3">
            <w:pPr>
              <w:pStyle w:val="Compact"/>
              <w:spacing w:before="0" w:after="40" w:line="226" w:lineRule="auto"/>
            </w:pPr>
            <w:r>
              <w:rPr>
                <w:b/>
                <w:color w:val="FFFFFF"/>
                <w:sz w:val="14"/>
              </w:rPr>
              <w:t>Institutional Learning Outcome</w:t>
            </w:r>
          </w:p>
        </w:tc>
        <w:tc>
          <w:tcPr>
            <w:tcW w:w="2909" w:type="dxa"/>
            <w:shd w:val="clear" w:color="auto" w:fill="1F4E78"/>
            <w:tcMar>
              <w:top w:w="55" w:type="dxa"/>
              <w:left w:w="65" w:type="dxa"/>
              <w:bottom w:w="55" w:type="dxa"/>
              <w:right w:w="65" w:type="dxa"/>
            </w:tcMar>
            <w:vAlign w:val="center"/>
          </w:tcPr>
          <w:p w14:paraId="1CD6825D" w14:textId="77777777" w:rsidR="00D82EB8" w:rsidRDefault="00D568B3">
            <w:pPr>
              <w:pStyle w:val="Compact"/>
              <w:spacing w:before="0" w:after="40" w:line="226" w:lineRule="auto"/>
            </w:pPr>
            <w:r>
              <w:rPr>
                <w:b/>
                <w:color w:val="FFFFFF"/>
                <w:sz w:val="14"/>
              </w:rPr>
              <w:t>Examples of Student Evidence</w:t>
            </w:r>
          </w:p>
        </w:tc>
        <w:tc>
          <w:tcPr>
            <w:tcW w:w="3168" w:type="dxa"/>
            <w:shd w:val="clear" w:color="auto" w:fill="1F4E78"/>
            <w:tcMar>
              <w:top w:w="55" w:type="dxa"/>
              <w:left w:w="65" w:type="dxa"/>
              <w:bottom w:w="55" w:type="dxa"/>
              <w:right w:w="65" w:type="dxa"/>
            </w:tcMar>
            <w:vAlign w:val="center"/>
          </w:tcPr>
          <w:p w14:paraId="6C53F190" w14:textId="77777777" w:rsidR="00D82EB8" w:rsidRDefault="00D568B3">
            <w:pPr>
              <w:pStyle w:val="Compact"/>
              <w:spacing w:before="0" w:after="40" w:line="226" w:lineRule="auto"/>
            </w:pPr>
            <w:r>
              <w:rPr>
                <w:b/>
                <w:color w:val="FFFFFF"/>
                <w:sz w:val="14"/>
              </w:rPr>
              <w:t>Main Assessment Criteria</w:t>
            </w:r>
          </w:p>
        </w:tc>
        <w:tc>
          <w:tcPr>
            <w:tcW w:w="1886" w:type="dxa"/>
            <w:shd w:val="clear" w:color="auto" w:fill="1F4E78"/>
            <w:tcMar>
              <w:top w:w="55" w:type="dxa"/>
              <w:left w:w="65" w:type="dxa"/>
              <w:bottom w:w="55" w:type="dxa"/>
              <w:right w:w="65" w:type="dxa"/>
            </w:tcMar>
            <w:vAlign w:val="center"/>
          </w:tcPr>
          <w:p w14:paraId="6B6721F6" w14:textId="77777777" w:rsidR="00D82EB8" w:rsidRDefault="00D568B3">
            <w:pPr>
              <w:pStyle w:val="Compact"/>
              <w:spacing w:before="0" w:after="40" w:line="226" w:lineRule="auto"/>
            </w:pPr>
            <w:r>
              <w:rPr>
                <w:b/>
                <w:color w:val="FFFFFF"/>
                <w:sz w:val="14"/>
              </w:rPr>
              <w:t>Typical Assessment Points</w:t>
            </w:r>
          </w:p>
        </w:tc>
      </w:tr>
      <w:tr w:rsidR="00D82EB8" w14:paraId="30CAE36F" w14:textId="77777777" w:rsidTr="00D82EB8">
        <w:trPr>
          <w:cantSplit/>
          <w:jc w:val="center"/>
        </w:trPr>
        <w:tc>
          <w:tcPr>
            <w:tcW w:w="2117" w:type="dxa"/>
            <w:tcMar>
              <w:top w:w="55" w:type="dxa"/>
              <w:left w:w="65" w:type="dxa"/>
              <w:bottom w:w="55" w:type="dxa"/>
              <w:right w:w="65" w:type="dxa"/>
            </w:tcMar>
            <w:vAlign w:val="center"/>
          </w:tcPr>
          <w:p w14:paraId="78B1ACCD" w14:textId="77777777" w:rsidR="00D82EB8" w:rsidRDefault="00D568B3">
            <w:pPr>
              <w:pStyle w:val="Compact"/>
              <w:spacing w:before="0" w:after="40" w:line="226" w:lineRule="auto"/>
            </w:pPr>
            <w:r>
              <w:rPr>
                <w:bCs/>
                <w:sz w:val="14"/>
              </w:rPr>
              <w:t>1. Integrated Knowledge and Critical Judgment</w:t>
            </w:r>
          </w:p>
        </w:tc>
        <w:tc>
          <w:tcPr>
            <w:tcW w:w="2909" w:type="dxa"/>
            <w:tcMar>
              <w:top w:w="55" w:type="dxa"/>
              <w:left w:w="65" w:type="dxa"/>
              <w:bottom w:w="55" w:type="dxa"/>
              <w:right w:w="65" w:type="dxa"/>
            </w:tcMar>
            <w:vAlign w:val="center"/>
          </w:tcPr>
          <w:p w14:paraId="533F2E3B" w14:textId="77777777" w:rsidR="00D82EB8" w:rsidRDefault="00D568B3">
            <w:pPr>
              <w:pStyle w:val="Compact"/>
              <w:spacing w:before="0" w:after="40" w:line="226" w:lineRule="auto"/>
            </w:pPr>
            <w:r>
              <w:rPr>
                <w:sz w:val="14"/>
              </w:rPr>
              <w:t>Integrated case analyses, examinations, research papers, policy or business analysis, and capstone work</w:t>
            </w:r>
          </w:p>
        </w:tc>
        <w:tc>
          <w:tcPr>
            <w:tcW w:w="3168" w:type="dxa"/>
            <w:tcMar>
              <w:top w:w="55" w:type="dxa"/>
              <w:left w:w="65" w:type="dxa"/>
              <w:bottom w:w="55" w:type="dxa"/>
              <w:right w:w="65" w:type="dxa"/>
            </w:tcMar>
            <w:vAlign w:val="center"/>
          </w:tcPr>
          <w:p w14:paraId="39DD6DB8" w14:textId="77777777" w:rsidR="00D82EB8" w:rsidRDefault="00D568B3">
            <w:pPr>
              <w:pStyle w:val="Compact"/>
              <w:spacing w:before="0" w:after="40" w:line="226" w:lineRule="auto"/>
            </w:pPr>
            <w:r>
              <w:rPr>
                <w:sz w:val="14"/>
              </w:rPr>
              <w:t>Integration of knowledge; quality of evidence; critical analysis; recognition of assumptions and uncertainty; strength of conclusions</w:t>
            </w:r>
          </w:p>
        </w:tc>
        <w:tc>
          <w:tcPr>
            <w:tcW w:w="1886" w:type="dxa"/>
            <w:tcMar>
              <w:top w:w="55" w:type="dxa"/>
              <w:left w:w="65" w:type="dxa"/>
              <w:bottom w:w="55" w:type="dxa"/>
              <w:right w:w="65" w:type="dxa"/>
            </w:tcMar>
            <w:vAlign w:val="center"/>
          </w:tcPr>
          <w:p w14:paraId="7EC6EEFA" w14:textId="77777777" w:rsidR="00D82EB8" w:rsidRDefault="00D568B3">
            <w:pPr>
              <w:pStyle w:val="Compact"/>
              <w:spacing w:before="0" w:after="40" w:line="226" w:lineRule="auto"/>
            </w:pPr>
            <w:r>
              <w:rPr>
                <w:sz w:val="14"/>
              </w:rPr>
              <w:t>Foundational courses, advanced courses, and final or capstone assessment</w:t>
            </w:r>
          </w:p>
        </w:tc>
      </w:tr>
      <w:tr w:rsidR="00D82EB8" w14:paraId="5F6A02AF" w14:textId="77777777" w:rsidTr="00D82EB8">
        <w:trPr>
          <w:cantSplit/>
          <w:jc w:val="center"/>
        </w:trPr>
        <w:tc>
          <w:tcPr>
            <w:tcW w:w="2117" w:type="dxa"/>
            <w:shd w:val="clear" w:color="auto" w:fill="F3F7FC"/>
            <w:tcMar>
              <w:top w:w="55" w:type="dxa"/>
              <w:left w:w="65" w:type="dxa"/>
              <w:bottom w:w="55" w:type="dxa"/>
              <w:right w:w="65" w:type="dxa"/>
            </w:tcMar>
            <w:vAlign w:val="center"/>
          </w:tcPr>
          <w:p w14:paraId="7283E17A" w14:textId="77777777" w:rsidR="00D82EB8" w:rsidRDefault="00D568B3">
            <w:pPr>
              <w:pStyle w:val="Compact"/>
              <w:spacing w:before="0" w:after="40" w:line="226" w:lineRule="auto"/>
            </w:pPr>
            <w:r>
              <w:rPr>
                <w:bCs/>
                <w:sz w:val="14"/>
              </w:rPr>
              <w:t>2. Applied Problem-Solving and Innovation</w:t>
            </w:r>
          </w:p>
        </w:tc>
        <w:tc>
          <w:tcPr>
            <w:tcW w:w="2909" w:type="dxa"/>
            <w:shd w:val="clear" w:color="auto" w:fill="F3F7FC"/>
            <w:tcMar>
              <w:top w:w="55" w:type="dxa"/>
              <w:left w:w="65" w:type="dxa"/>
              <w:bottom w:w="55" w:type="dxa"/>
              <w:right w:w="65" w:type="dxa"/>
            </w:tcMar>
            <w:vAlign w:val="center"/>
          </w:tcPr>
          <w:p w14:paraId="486E0273" w14:textId="77777777" w:rsidR="00D82EB8" w:rsidRDefault="00D568B3">
            <w:pPr>
              <w:pStyle w:val="Compact"/>
              <w:spacing w:before="0" w:after="40" w:line="226" w:lineRule="auto"/>
            </w:pPr>
            <w:r>
              <w:rPr>
                <w:sz w:val="14"/>
              </w:rPr>
              <w:t>Applied projects, simulations, consulting briefs, business plans, prototypes, process improvements, and implementation proposals</w:t>
            </w:r>
          </w:p>
        </w:tc>
        <w:tc>
          <w:tcPr>
            <w:tcW w:w="3168" w:type="dxa"/>
            <w:shd w:val="clear" w:color="auto" w:fill="F3F7FC"/>
            <w:tcMar>
              <w:top w:w="55" w:type="dxa"/>
              <w:left w:w="65" w:type="dxa"/>
              <w:bottom w:w="55" w:type="dxa"/>
              <w:right w:w="65" w:type="dxa"/>
            </w:tcMar>
            <w:vAlign w:val="center"/>
          </w:tcPr>
          <w:p w14:paraId="3F60DCCE" w14:textId="77777777" w:rsidR="00D82EB8" w:rsidRDefault="00D568B3">
            <w:pPr>
              <w:pStyle w:val="Compact"/>
              <w:spacing w:before="0" w:after="40" w:line="226" w:lineRule="auto"/>
            </w:pPr>
            <w:r>
              <w:rPr>
                <w:sz w:val="14"/>
              </w:rPr>
              <w:t>Problem definition; creativity; feasibility; use of evidence; consideration of alternatives; implementation quality</w:t>
            </w:r>
          </w:p>
        </w:tc>
        <w:tc>
          <w:tcPr>
            <w:tcW w:w="1886" w:type="dxa"/>
            <w:shd w:val="clear" w:color="auto" w:fill="F3F7FC"/>
            <w:tcMar>
              <w:top w:w="55" w:type="dxa"/>
              <w:left w:w="65" w:type="dxa"/>
              <w:bottom w:w="55" w:type="dxa"/>
              <w:right w:w="65" w:type="dxa"/>
            </w:tcMar>
            <w:vAlign w:val="center"/>
          </w:tcPr>
          <w:p w14:paraId="02039B50" w14:textId="77777777" w:rsidR="00D82EB8" w:rsidRDefault="00D568B3">
            <w:pPr>
              <w:pStyle w:val="Compact"/>
              <w:spacing w:before="0" w:after="40" w:line="226" w:lineRule="auto"/>
            </w:pPr>
            <w:r>
              <w:rPr>
                <w:sz w:val="14"/>
              </w:rPr>
              <w:t>Practice-based courses, project milestones, work-integrated learning, and capstone assessment</w:t>
            </w:r>
          </w:p>
        </w:tc>
      </w:tr>
      <w:tr w:rsidR="00D82EB8" w14:paraId="1AFB940A" w14:textId="77777777" w:rsidTr="00D82EB8">
        <w:trPr>
          <w:cantSplit/>
          <w:jc w:val="center"/>
        </w:trPr>
        <w:tc>
          <w:tcPr>
            <w:tcW w:w="2117" w:type="dxa"/>
            <w:tcMar>
              <w:top w:w="55" w:type="dxa"/>
              <w:left w:w="65" w:type="dxa"/>
              <w:bottom w:w="55" w:type="dxa"/>
              <w:right w:w="65" w:type="dxa"/>
            </w:tcMar>
            <w:vAlign w:val="center"/>
          </w:tcPr>
          <w:p w14:paraId="00F5DD61" w14:textId="77777777" w:rsidR="00D82EB8" w:rsidRDefault="00D568B3">
            <w:pPr>
              <w:pStyle w:val="Compact"/>
              <w:spacing w:before="0" w:after="40" w:line="226" w:lineRule="auto"/>
            </w:pPr>
            <w:r>
              <w:rPr>
                <w:bCs/>
                <w:sz w:val="14"/>
              </w:rPr>
              <w:t>3. Research, Data, and Responsible Digital Capability</w:t>
            </w:r>
          </w:p>
        </w:tc>
        <w:tc>
          <w:tcPr>
            <w:tcW w:w="2909" w:type="dxa"/>
            <w:tcMar>
              <w:top w:w="55" w:type="dxa"/>
              <w:left w:w="65" w:type="dxa"/>
              <w:bottom w:w="55" w:type="dxa"/>
              <w:right w:w="65" w:type="dxa"/>
            </w:tcMar>
            <w:vAlign w:val="center"/>
          </w:tcPr>
          <w:p w14:paraId="733A88A2" w14:textId="77777777" w:rsidR="00D82EB8" w:rsidRDefault="00D568B3">
            <w:pPr>
              <w:pStyle w:val="Compact"/>
              <w:spacing w:before="0" w:after="40" w:line="226" w:lineRule="auto"/>
            </w:pPr>
            <w:r>
              <w:rPr>
                <w:sz w:val="14"/>
              </w:rPr>
              <w:t>Literature reviews, research projects, data analyses, dashboards, digital products, and appropriately disclosed AI-supported work</w:t>
            </w:r>
          </w:p>
        </w:tc>
        <w:tc>
          <w:tcPr>
            <w:tcW w:w="3168" w:type="dxa"/>
            <w:tcMar>
              <w:top w:w="55" w:type="dxa"/>
              <w:left w:w="65" w:type="dxa"/>
              <w:bottom w:w="55" w:type="dxa"/>
              <w:right w:w="65" w:type="dxa"/>
            </w:tcMar>
            <w:vAlign w:val="center"/>
          </w:tcPr>
          <w:p w14:paraId="2798AA1D" w14:textId="77777777" w:rsidR="00D82EB8" w:rsidRDefault="00D568B3">
            <w:pPr>
              <w:pStyle w:val="Compact"/>
              <w:spacing w:before="0" w:after="40" w:line="226" w:lineRule="auto"/>
            </w:pPr>
            <w:r>
              <w:rPr>
                <w:sz w:val="14"/>
              </w:rPr>
              <w:t>Source quality; methodological accuracy; interpretation of data; effective use of digital tools; privacy, attribution, and responsible AI use</w:t>
            </w:r>
          </w:p>
        </w:tc>
        <w:tc>
          <w:tcPr>
            <w:tcW w:w="1886" w:type="dxa"/>
            <w:tcMar>
              <w:top w:w="55" w:type="dxa"/>
              <w:left w:w="65" w:type="dxa"/>
              <w:bottom w:w="55" w:type="dxa"/>
              <w:right w:w="65" w:type="dxa"/>
            </w:tcMar>
            <w:vAlign w:val="center"/>
          </w:tcPr>
          <w:p w14:paraId="26C2D1E9" w14:textId="77777777" w:rsidR="00D82EB8" w:rsidRDefault="00D568B3">
            <w:pPr>
              <w:pStyle w:val="Compact"/>
              <w:spacing w:before="0" w:after="40" w:line="226" w:lineRule="auto"/>
            </w:pPr>
            <w:r>
              <w:rPr>
                <w:sz w:val="14"/>
              </w:rPr>
              <w:t>Research and methods courses, discipline-specific projects, and final or capstone work</w:t>
            </w:r>
          </w:p>
        </w:tc>
      </w:tr>
      <w:tr w:rsidR="00D82EB8" w14:paraId="28019E92" w14:textId="77777777" w:rsidTr="00D82EB8">
        <w:trPr>
          <w:cantSplit/>
          <w:jc w:val="center"/>
        </w:trPr>
        <w:tc>
          <w:tcPr>
            <w:tcW w:w="2117" w:type="dxa"/>
            <w:shd w:val="clear" w:color="auto" w:fill="F3F7FC"/>
            <w:tcMar>
              <w:top w:w="55" w:type="dxa"/>
              <w:left w:w="65" w:type="dxa"/>
              <w:bottom w:w="55" w:type="dxa"/>
              <w:right w:w="65" w:type="dxa"/>
            </w:tcMar>
            <w:vAlign w:val="center"/>
          </w:tcPr>
          <w:p w14:paraId="406B068B" w14:textId="77777777" w:rsidR="00D82EB8" w:rsidRDefault="00D568B3">
            <w:pPr>
              <w:pStyle w:val="Compact"/>
              <w:spacing w:before="0" w:after="40" w:line="226" w:lineRule="auto"/>
            </w:pPr>
            <w:r>
              <w:rPr>
                <w:bCs/>
                <w:sz w:val="14"/>
              </w:rPr>
              <w:t>4. Communication and Collaboration</w:t>
            </w:r>
          </w:p>
        </w:tc>
        <w:tc>
          <w:tcPr>
            <w:tcW w:w="2909" w:type="dxa"/>
            <w:shd w:val="clear" w:color="auto" w:fill="F3F7FC"/>
            <w:tcMar>
              <w:top w:w="55" w:type="dxa"/>
              <w:left w:w="65" w:type="dxa"/>
              <w:bottom w:w="55" w:type="dxa"/>
              <w:right w:w="65" w:type="dxa"/>
            </w:tcMar>
            <w:vAlign w:val="center"/>
          </w:tcPr>
          <w:p w14:paraId="64E6E433" w14:textId="77777777" w:rsidR="00D82EB8" w:rsidRDefault="00D568B3">
            <w:pPr>
              <w:pStyle w:val="Compact"/>
              <w:spacing w:before="0" w:after="40" w:line="226" w:lineRule="auto"/>
            </w:pPr>
            <w:r>
              <w:rPr>
                <w:sz w:val="14"/>
              </w:rPr>
              <w:t>Written reports, presentations, visual or digital communication, team projects, stakeholder briefings, and peer feedback</w:t>
            </w:r>
          </w:p>
        </w:tc>
        <w:tc>
          <w:tcPr>
            <w:tcW w:w="3168" w:type="dxa"/>
            <w:shd w:val="clear" w:color="auto" w:fill="F3F7FC"/>
            <w:tcMar>
              <w:top w:w="55" w:type="dxa"/>
              <w:left w:w="65" w:type="dxa"/>
              <w:bottom w:w="55" w:type="dxa"/>
              <w:right w:w="65" w:type="dxa"/>
            </w:tcMar>
            <w:vAlign w:val="center"/>
          </w:tcPr>
          <w:p w14:paraId="08CD7357" w14:textId="77777777" w:rsidR="00D82EB8" w:rsidRDefault="00D568B3">
            <w:pPr>
              <w:pStyle w:val="Compact"/>
              <w:spacing w:before="0" w:after="40" w:line="226" w:lineRule="auto"/>
            </w:pPr>
            <w:r>
              <w:rPr>
                <w:sz w:val="14"/>
              </w:rPr>
              <w:t>Clarity; organization; audience awareness; persuasiveness; listening; collaboration; reliability and contribution to team outcomes</w:t>
            </w:r>
          </w:p>
        </w:tc>
        <w:tc>
          <w:tcPr>
            <w:tcW w:w="1886" w:type="dxa"/>
            <w:shd w:val="clear" w:color="auto" w:fill="F3F7FC"/>
            <w:tcMar>
              <w:top w:w="55" w:type="dxa"/>
              <w:left w:w="65" w:type="dxa"/>
              <w:bottom w:w="55" w:type="dxa"/>
              <w:right w:w="65" w:type="dxa"/>
            </w:tcMar>
            <w:vAlign w:val="center"/>
          </w:tcPr>
          <w:p w14:paraId="4CCE78EB" w14:textId="77777777" w:rsidR="00D82EB8" w:rsidRDefault="00D568B3">
            <w:pPr>
              <w:pStyle w:val="Compact"/>
              <w:spacing w:before="0" w:after="40" w:line="226" w:lineRule="auto"/>
            </w:pPr>
            <w:r>
              <w:rPr>
                <w:sz w:val="14"/>
              </w:rPr>
              <w:t>Across courses, team projects, presentations, and final or capstone assessment</w:t>
            </w:r>
          </w:p>
        </w:tc>
      </w:tr>
      <w:tr w:rsidR="00D82EB8" w14:paraId="2F242749" w14:textId="77777777" w:rsidTr="00D82EB8">
        <w:trPr>
          <w:cantSplit/>
          <w:jc w:val="center"/>
        </w:trPr>
        <w:tc>
          <w:tcPr>
            <w:tcW w:w="2117" w:type="dxa"/>
            <w:tcMar>
              <w:top w:w="55" w:type="dxa"/>
              <w:left w:w="65" w:type="dxa"/>
              <w:bottom w:w="55" w:type="dxa"/>
              <w:right w:w="65" w:type="dxa"/>
            </w:tcMar>
            <w:vAlign w:val="center"/>
          </w:tcPr>
          <w:p w14:paraId="612D20A7" w14:textId="77777777" w:rsidR="00D82EB8" w:rsidRDefault="00D568B3">
            <w:pPr>
              <w:pStyle w:val="Compact"/>
              <w:spacing w:before="0" w:after="40" w:line="226" w:lineRule="auto"/>
            </w:pPr>
            <w:r>
              <w:rPr>
                <w:bCs/>
                <w:sz w:val="14"/>
              </w:rPr>
              <w:t>5. Ethical Leadership and Professional Responsibility</w:t>
            </w:r>
          </w:p>
        </w:tc>
        <w:tc>
          <w:tcPr>
            <w:tcW w:w="2909" w:type="dxa"/>
            <w:tcMar>
              <w:top w:w="55" w:type="dxa"/>
              <w:left w:w="65" w:type="dxa"/>
              <w:bottom w:w="55" w:type="dxa"/>
              <w:right w:w="65" w:type="dxa"/>
            </w:tcMar>
            <w:vAlign w:val="center"/>
          </w:tcPr>
          <w:p w14:paraId="1B4A89CD" w14:textId="77777777" w:rsidR="00D82EB8" w:rsidRDefault="00D568B3">
            <w:pPr>
              <w:pStyle w:val="Compact"/>
              <w:spacing w:before="0" w:after="40" w:line="226" w:lineRule="auto"/>
            </w:pPr>
            <w:r>
              <w:rPr>
                <w:sz w:val="14"/>
              </w:rPr>
              <w:t>Ethical case analyses, leadership simulations, reflective professional plans, workplace projects, and decisions within capstone work</w:t>
            </w:r>
          </w:p>
        </w:tc>
        <w:tc>
          <w:tcPr>
            <w:tcW w:w="3168" w:type="dxa"/>
            <w:tcMar>
              <w:top w:w="55" w:type="dxa"/>
              <w:left w:w="65" w:type="dxa"/>
              <w:bottom w:w="55" w:type="dxa"/>
              <w:right w:w="65" w:type="dxa"/>
            </w:tcMar>
            <w:vAlign w:val="center"/>
          </w:tcPr>
          <w:p w14:paraId="15953CDD" w14:textId="77777777" w:rsidR="00D82EB8" w:rsidRDefault="00D568B3">
            <w:pPr>
              <w:pStyle w:val="Compact"/>
              <w:spacing w:before="0" w:after="40" w:line="226" w:lineRule="auto"/>
            </w:pPr>
            <w:r>
              <w:rPr>
                <w:sz w:val="14"/>
              </w:rPr>
              <w:t>Integrity; ethical reasoning; accountability; initiative; consideration of stakeholders and consequences; alignment with professional expectations</w:t>
            </w:r>
          </w:p>
        </w:tc>
        <w:tc>
          <w:tcPr>
            <w:tcW w:w="1886" w:type="dxa"/>
            <w:tcMar>
              <w:top w:w="55" w:type="dxa"/>
              <w:left w:w="65" w:type="dxa"/>
              <w:bottom w:w="55" w:type="dxa"/>
              <w:right w:w="65" w:type="dxa"/>
            </w:tcMar>
            <w:vAlign w:val="center"/>
          </w:tcPr>
          <w:p w14:paraId="194CB764" w14:textId="77777777" w:rsidR="00D82EB8" w:rsidRDefault="00D568B3">
            <w:pPr>
              <w:pStyle w:val="Compact"/>
              <w:spacing w:before="0" w:after="40" w:line="226" w:lineRule="auto"/>
            </w:pPr>
            <w:r>
              <w:rPr>
                <w:sz w:val="14"/>
              </w:rPr>
              <w:t>Leadership and governance courses, experiential learning, and final or capstone assessment</w:t>
            </w:r>
          </w:p>
        </w:tc>
      </w:tr>
      <w:tr w:rsidR="00D82EB8" w14:paraId="2C84951D" w14:textId="77777777" w:rsidTr="00D82EB8">
        <w:trPr>
          <w:cantSplit/>
          <w:jc w:val="center"/>
        </w:trPr>
        <w:tc>
          <w:tcPr>
            <w:tcW w:w="2117" w:type="dxa"/>
            <w:shd w:val="clear" w:color="auto" w:fill="F3F7FC"/>
            <w:tcMar>
              <w:top w:w="55" w:type="dxa"/>
              <w:left w:w="65" w:type="dxa"/>
              <w:bottom w:w="55" w:type="dxa"/>
              <w:right w:w="65" w:type="dxa"/>
            </w:tcMar>
            <w:vAlign w:val="center"/>
          </w:tcPr>
          <w:p w14:paraId="1903D897" w14:textId="77777777" w:rsidR="00D82EB8" w:rsidRDefault="00D568B3">
            <w:pPr>
              <w:pStyle w:val="Compact"/>
              <w:spacing w:before="0" w:after="40" w:line="226" w:lineRule="auto"/>
            </w:pPr>
            <w:r>
              <w:rPr>
                <w:bCs/>
                <w:sz w:val="14"/>
              </w:rPr>
              <w:t>6. Global and Intercultural Competence</w:t>
            </w:r>
          </w:p>
        </w:tc>
        <w:tc>
          <w:tcPr>
            <w:tcW w:w="2909" w:type="dxa"/>
            <w:shd w:val="clear" w:color="auto" w:fill="F3F7FC"/>
            <w:tcMar>
              <w:top w:w="55" w:type="dxa"/>
              <w:left w:w="65" w:type="dxa"/>
              <w:bottom w:w="55" w:type="dxa"/>
              <w:right w:w="65" w:type="dxa"/>
            </w:tcMar>
            <w:vAlign w:val="center"/>
          </w:tcPr>
          <w:p w14:paraId="4398CDC1" w14:textId="77777777" w:rsidR="00D82EB8" w:rsidRDefault="00D568B3">
            <w:pPr>
              <w:pStyle w:val="Compact"/>
              <w:spacing w:before="0" w:after="40" w:line="226" w:lineRule="auto"/>
            </w:pPr>
            <w:r>
              <w:rPr>
                <w:sz w:val="14"/>
              </w:rPr>
              <w:t>International case studies, comparative analyses, intercultural teamwork, global market or policy projects, and international presentations</w:t>
            </w:r>
          </w:p>
        </w:tc>
        <w:tc>
          <w:tcPr>
            <w:tcW w:w="3168" w:type="dxa"/>
            <w:shd w:val="clear" w:color="auto" w:fill="F3F7FC"/>
            <w:tcMar>
              <w:top w:w="55" w:type="dxa"/>
              <w:left w:w="65" w:type="dxa"/>
              <w:bottom w:w="55" w:type="dxa"/>
              <w:right w:w="65" w:type="dxa"/>
            </w:tcMar>
            <w:vAlign w:val="center"/>
          </w:tcPr>
          <w:p w14:paraId="581A4818" w14:textId="77777777" w:rsidR="00D82EB8" w:rsidRDefault="00D568B3">
            <w:pPr>
              <w:pStyle w:val="Compact"/>
              <w:spacing w:before="0" w:after="40" w:line="226" w:lineRule="auto"/>
            </w:pPr>
            <w:r>
              <w:rPr>
                <w:sz w:val="14"/>
              </w:rPr>
              <w:t>Quality of contextual analysis; perspective-taking; respectful engagement; recognition of cultural and jurisdictional differences; adaptability</w:t>
            </w:r>
          </w:p>
        </w:tc>
        <w:tc>
          <w:tcPr>
            <w:tcW w:w="1886" w:type="dxa"/>
            <w:shd w:val="clear" w:color="auto" w:fill="F3F7FC"/>
            <w:tcMar>
              <w:top w:w="55" w:type="dxa"/>
              <w:left w:w="65" w:type="dxa"/>
              <w:bottom w:w="55" w:type="dxa"/>
              <w:right w:w="65" w:type="dxa"/>
            </w:tcMar>
            <w:vAlign w:val="center"/>
          </w:tcPr>
          <w:p w14:paraId="034C988A" w14:textId="77777777" w:rsidR="00D82EB8" w:rsidRDefault="00D568B3">
            <w:pPr>
              <w:pStyle w:val="Compact"/>
              <w:spacing w:before="0" w:after="40" w:line="226" w:lineRule="auto"/>
            </w:pPr>
            <w:r>
              <w:rPr>
                <w:sz w:val="14"/>
              </w:rPr>
              <w:t>Internationally focused courses, diverse team experiences, and final or capstone work</w:t>
            </w:r>
          </w:p>
        </w:tc>
      </w:tr>
      <w:tr w:rsidR="00D82EB8" w14:paraId="75841A3B" w14:textId="77777777" w:rsidTr="00D82EB8">
        <w:trPr>
          <w:cantSplit/>
          <w:jc w:val="center"/>
        </w:trPr>
        <w:tc>
          <w:tcPr>
            <w:tcW w:w="2117" w:type="dxa"/>
            <w:tcMar>
              <w:top w:w="55" w:type="dxa"/>
              <w:left w:w="65" w:type="dxa"/>
              <w:bottom w:w="55" w:type="dxa"/>
              <w:right w:w="65" w:type="dxa"/>
            </w:tcMar>
            <w:vAlign w:val="center"/>
          </w:tcPr>
          <w:p w14:paraId="75594F1A" w14:textId="77777777" w:rsidR="00D82EB8" w:rsidRDefault="00D568B3">
            <w:pPr>
              <w:pStyle w:val="Compact"/>
              <w:spacing w:before="0" w:after="40" w:line="226" w:lineRule="auto"/>
            </w:pPr>
            <w:r>
              <w:rPr>
                <w:bCs/>
                <w:sz w:val="14"/>
              </w:rPr>
              <w:t>7. Sustainability and Long-Term Value</w:t>
            </w:r>
          </w:p>
        </w:tc>
        <w:tc>
          <w:tcPr>
            <w:tcW w:w="2909" w:type="dxa"/>
            <w:tcMar>
              <w:top w:w="55" w:type="dxa"/>
              <w:left w:w="65" w:type="dxa"/>
              <w:bottom w:w="55" w:type="dxa"/>
              <w:right w:w="65" w:type="dxa"/>
            </w:tcMar>
            <w:vAlign w:val="center"/>
          </w:tcPr>
          <w:p w14:paraId="7E3C99EB" w14:textId="77777777" w:rsidR="00D82EB8" w:rsidRDefault="00D568B3">
            <w:pPr>
              <w:pStyle w:val="Compact"/>
              <w:spacing w:before="0" w:after="40" w:line="226" w:lineRule="auto"/>
            </w:pPr>
            <w:r>
              <w:rPr>
                <w:sz w:val="14"/>
              </w:rPr>
              <w:t>Sustainability assessments, impact analyses, responsible strategy proposals, operational projects, and capstone recommendations</w:t>
            </w:r>
          </w:p>
        </w:tc>
        <w:tc>
          <w:tcPr>
            <w:tcW w:w="3168" w:type="dxa"/>
            <w:tcMar>
              <w:top w:w="55" w:type="dxa"/>
              <w:left w:w="65" w:type="dxa"/>
              <w:bottom w:w="55" w:type="dxa"/>
              <w:right w:w="65" w:type="dxa"/>
            </w:tcMar>
            <w:vAlign w:val="center"/>
          </w:tcPr>
          <w:p w14:paraId="75E9C7C6" w14:textId="77777777" w:rsidR="00D82EB8" w:rsidRDefault="00D568B3">
            <w:pPr>
              <w:pStyle w:val="Compact"/>
              <w:spacing w:before="0" w:after="40" w:line="226" w:lineRule="auto"/>
            </w:pPr>
            <w:r>
              <w:rPr>
                <w:sz w:val="14"/>
              </w:rPr>
              <w:t>Systems thinking; economic, environmental, and social analysis; treatment of trade-offs; use of indicators; resilience and long-term feasibility</w:t>
            </w:r>
          </w:p>
        </w:tc>
        <w:tc>
          <w:tcPr>
            <w:tcW w:w="1886" w:type="dxa"/>
            <w:tcMar>
              <w:top w:w="55" w:type="dxa"/>
              <w:left w:w="65" w:type="dxa"/>
              <w:bottom w:w="55" w:type="dxa"/>
              <w:right w:w="65" w:type="dxa"/>
            </w:tcMar>
            <w:vAlign w:val="center"/>
          </w:tcPr>
          <w:p w14:paraId="24A1FD6E" w14:textId="77777777" w:rsidR="00D82EB8" w:rsidRDefault="00D568B3">
            <w:pPr>
              <w:pStyle w:val="Compact"/>
              <w:spacing w:before="0" w:after="40" w:line="226" w:lineRule="auto"/>
            </w:pPr>
            <w:r>
              <w:rPr>
                <w:sz w:val="14"/>
              </w:rPr>
              <w:t>Relevant courses throughout the program and final or capstone assessment</w:t>
            </w:r>
          </w:p>
        </w:tc>
      </w:tr>
    </w:tbl>
    <w:p w14:paraId="67EF4F41" w14:textId="77777777" w:rsidR="00D82EB8" w:rsidRDefault="00D568B3">
      <w:pPr>
        <w:pStyle w:val="Heading2"/>
        <w:pageBreakBefore/>
      </w:pPr>
      <w:bookmarkStart w:id="11" w:name="common-performance-language"/>
      <w:bookmarkEnd w:id="10"/>
      <w:r>
        <w:lastRenderedPageBreak/>
        <w:t>Common Performance Language</w:t>
      </w:r>
    </w:p>
    <w:p w14:paraId="62C05A56" w14:textId="77777777" w:rsidR="00D82EB8" w:rsidRDefault="00D568B3">
      <w:pPr>
        <w:pStyle w:val="FirstParagraph"/>
      </w:pPr>
      <w:r>
        <w:t>Focus Spain may use a four-level performance scale to communicate achievement consistently across programs:</w:t>
      </w:r>
    </w:p>
    <w:p w14:paraId="08567A66" w14:textId="77777777" w:rsidR="00D82EB8" w:rsidRDefault="00D568B3">
      <w:pPr>
        <w:pStyle w:val="Compact"/>
        <w:numPr>
          <w:ilvl w:val="0"/>
          <w:numId w:val="2"/>
        </w:numPr>
      </w:pPr>
      <w:r>
        <w:rPr>
          <w:b/>
          <w:bCs/>
        </w:rPr>
        <w:t>Emerging:</w:t>
      </w:r>
      <w:r>
        <w:t xml:space="preserve"> Demonstrates initial understanding but requires substantial guidance or improvement.</w:t>
      </w:r>
    </w:p>
    <w:p w14:paraId="78A256C5" w14:textId="77777777" w:rsidR="00D82EB8" w:rsidRDefault="00D568B3">
      <w:pPr>
        <w:pStyle w:val="Compact"/>
        <w:numPr>
          <w:ilvl w:val="0"/>
          <w:numId w:val="2"/>
        </w:numPr>
      </w:pPr>
      <w:r>
        <w:rPr>
          <w:b/>
          <w:bCs/>
        </w:rPr>
        <w:t>Developing:</w:t>
      </w:r>
      <w:r>
        <w:t xml:space="preserve"> </w:t>
      </w:r>
      <w:r>
        <w:t>Demonstrates partial achievement and growing independence, with some important gaps.</w:t>
      </w:r>
    </w:p>
    <w:p w14:paraId="06E7BADB" w14:textId="77777777" w:rsidR="00D82EB8" w:rsidRDefault="00D568B3">
      <w:pPr>
        <w:pStyle w:val="Compact"/>
        <w:numPr>
          <w:ilvl w:val="0"/>
          <w:numId w:val="2"/>
        </w:numPr>
      </w:pPr>
      <w:r>
        <w:rPr>
          <w:b/>
          <w:bCs/>
        </w:rPr>
        <w:t>Proficient:</w:t>
      </w:r>
      <w:r>
        <w:t xml:space="preserve"> Meets the expectations established for the credential level and field of study.</w:t>
      </w:r>
    </w:p>
    <w:p w14:paraId="02F81DA2" w14:textId="77777777" w:rsidR="00D82EB8" w:rsidRDefault="00D568B3">
      <w:pPr>
        <w:pStyle w:val="Compact"/>
        <w:numPr>
          <w:ilvl w:val="0"/>
          <w:numId w:val="2"/>
        </w:numPr>
      </w:pPr>
      <w:r>
        <w:rPr>
          <w:b/>
          <w:bCs/>
        </w:rPr>
        <w:t>Advanced:</w:t>
      </w:r>
      <w:r>
        <w:t xml:space="preserve"> Exceeds expectations through exceptional integration, independence, insight, or impact.</w:t>
      </w:r>
    </w:p>
    <w:p w14:paraId="03957A91" w14:textId="77777777" w:rsidR="00D82EB8" w:rsidRDefault="00D568B3">
      <w:pPr>
        <w:pStyle w:val="FirstParagraph"/>
      </w:pPr>
      <w:r>
        <w:t>The specific indicators used in a course or program will reflect the discipline, credential level, assignment, and professional context.</w:t>
      </w:r>
    </w:p>
    <w:p w14:paraId="188BAE53" w14:textId="77777777" w:rsidR="00D82EB8" w:rsidRDefault="00D568B3">
      <w:pPr>
        <w:pStyle w:val="Heading2"/>
      </w:pPr>
      <w:bookmarkStart w:id="12" w:name="commitment-to-educational-quality"/>
      <w:bookmarkEnd w:id="11"/>
      <w:r>
        <w:t>Commitment to Educational Quality</w:t>
      </w:r>
    </w:p>
    <w:p w14:paraId="41AB5F9D" w14:textId="77777777" w:rsidR="00D82EB8" w:rsidRDefault="00D568B3">
      <w:pPr>
        <w:pStyle w:val="FirstParagraph"/>
      </w:pPr>
      <w:r>
        <w:t>Focus Spain uses evidence of student learning to strengthen educational quality. Programs review patterns of achievement, identify areas for improvement, and make appropriate changes to curriculum, teaching, assessment, and learner support. Information is considered in aggregate, with respect for student privacy and fair assessment.</w:t>
      </w:r>
    </w:p>
    <w:p w14:paraId="667FE0D6" w14:textId="77777777" w:rsidR="00D82EB8" w:rsidRDefault="00D568B3">
      <w:pPr>
        <w:pStyle w:val="BodyText"/>
      </w:pPr>
      <w:r>
        <w:t>These Institutional Learning Outcomes are informed by widely used European and international approaches to qualifications, graduate capabilities, employability, and quality assurance, while reflecting Focus Spain's commitment to applied learning, responsible leadership, international engagement, innovation, and sustainable value creation.</w:t>
      </w:r>
      <w:bookmarkEnd w:id="0"/>
      <w:bookmarkEnd w:id="12"/>
    </w:p>
    <w:sectPr w:rsidR="00D82EB8">
      <w:headerReference w:type="default" r:id="rId7"/>
      <w:footerReference w:type="default" r:id="rId8"/>
      <w:pgSz w:w="11906" w:h="16838"/>
      <w:pgMar w:top="1008" w:right="893" w:bottom="1008" w:left="893" w:header="389" w:footer="3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79EE6" w14:textId="77777777" w:rsidR="00D568B3" w:rsidRDefault="00D568B3">
      <w:pPr>
        <w:spacing w:after="0" w:line="240" w:lineRule="auto"/>
      </w:pPr>
      <w:r>
        <w:separator/>
      </w:r>
    </w:p>
  </w:endnote>
  <w:endnote w:type="continuationSeparator" w:id="0">
    <w:p w14:paraId="25CD98EB" w14:textId="77777777" w:rsidR="00D568B3" w:rsidRDefault="00D56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8621" w14:textId="77777777" w:rsidR="00D82EB8" w:rsidRDefault="00D568B3">
    <w:pPr>
      <w:jc w:val="center"/>
    </w:pPr>
    <w:r>
      <w:rPr>
        <w:color w:val="666666"/>
        <w:sz w:val="16"/>
      </w:rPr>
      <w:t xml:space="preserve">Public </w:t>
    </w:r>
    <w:proofErr w:type="gramStart"/>
    <w:r>
      <w:rPr>
        <w:color w:val="666666"/>
        <w:sz w:val="16"/>
      </w:rPr>
      <w:t>Information  •</w:t>
    </w:r>
    <w:proofErr w:type="gramEnd"/>
    <w:r>
      <w:rPr>
        <w:color w:val="666666"/>
        <w:sz w:val="16"/>
      </w:rPr>
      <w:t xml:space="preserve">  Page </w:t>
    </w:r>
    <w:r>
      <w:rPr>
        <w:color w:val="666666"/>
        <w:sz w:val="16"/>
      </w:rPr>
      <w:fldChar w:fldCharType="begin"/>
    </w:r>
    <w:r>
      <w:rPr>
        <w:color w:val="666666"/>
        <w:sz w:val="16"/>
      </w:rPr>
      <w:instrText xml:space="preserve"> PAGE </w:instrText>
    </w:r>
    <w:r>
      <w:rPr>
        <w:color w:val="666666"/>
        <w:sz w:val="16"/>
      </w:rPr>
      <w:fldChar w:fldCharType="separate"/>
    </w:r>
    <w:r>
      <w:rPr>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E69DB" w14:textId="77777777" w:rsidR="00D568B3" w:rsidRDefault="00D568B3">
      <w:r>
        <w:separator/>
      </w:r>
    </w:p>
  </w:footnote>
  <w:footnote w:type="continuationSeparator" w:id="0">
    <w:p w14:paraId="237B56DE" w14:textId="77777777" w:rsidR="00D568B3" w:rsidRDefault="00D5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0367" w14:textId="77777777" w:rsidR="00D82EB8" w:rsidRDefault="00D568B3">
    <w:pPr>
      <w:jc w:val="right"/>
    </w:pPr>
    <w:r>
      <w:rPr>
        <w:b/>
        <w:color w:val="1F4E78"/>
        <w:sz w:val="14"/>
      </w:rPr>
      <w:t xml:space="preserve">FOCUS </w:t>
    </w:r>
    <w:proofErr w:type="gramStart"/>
    <w:r>
      <w:rPr>
        <w:b/>
        <w:color w:val="1F4E78"/>
        <w:sz w:val="14"/>
      </w:rPr>
      <w:t>SPAIN  |</w:t>
    </w:r>
    <w:proofErr w:type="gramEnd"/>
    <w:r>
      <w:rPr>
        <w:b/>
        <w:color w:val="1F4E78"/>
        <w:sz w:val="14"/>
      </w:rPr>
      <w:t xml:space="preserve">  INSTITUTIONAL LEARNING OUTCOMES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334347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F4C6EEB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709987260">
    <w:abstractNumId w:val="0"/>
  </w:num>
  <w:num w:numId="2" w16cid:durableId="377240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EB8"/>
    <w:rsid w:val="000A5C23"/>
    <w:rsid w:val="00B637CB"/>
    <w:rsid w:val="00D568B3"/>
    <w:rsid w:val="00D82EB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3E6E1"/>
  <w15:docId w15:val="{9427184B-B879-4942-A3EF-B8A85F2E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00" w:line="252" w:lineRule="auto"/>
    </w:pPr>
    <w:rPr>
      <w:rFonts w:ascii="Aptos" w:eastAsia="Aptos" w:hAnsi="Aptos"/>
      <w:sz w:val="19"/>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after="80"/>
      <w:jc w:val="center"/>
    </w:pPr>
    <w:rPr>
      <w:rFonts w:asciiTheme="majorHAnsi" w:eastAsiaTheme="majorEastAsia" w:hAnsiTheme="majorHAnsi" w:cstheme="majorBidi"/>
      <w:b/>
      <w:bCs/>
      <w:color w:val="1F4E78"/>
      <w:sz w:val="44"/>
      <w:szCs w:val="36"/>
    </w:rPr>
  </w:style>
  <w:style w:type="paragraph" w:styleId="Subtitle">
    <w:name w:val="Subtitle"/>
    <w:basedOn w:val="Title"/>
    <w:next w:val="BodyText"/>
    <w:qFormat/>
    <w:pPr>
      <w:spacing w:before="240" w:after="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1290</Words>
  <Characters>7357</Characters>
  <Application>Microsoft Office Word</Application>
  <DocSecurity>0</DocSecurity>
  <Lines>61</Lines>
  <Paragraphs>17</Paragraphs>
  <ScaleCrop>false</ScaleCrop>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Spain Institutional Learning Outcomes</dc:title>
  <dc:subject>Public statement and assessment matrix</dc:subject>
  <dc:creator>Focus Spain</dc:creator>
  <cp:keywords>institutional learning outcomes, ILOs, assessment, Focus Spain, educational quality, global competence, sustainability, responsible AI</cp:keywords>
  <cp:lastModifiedBy>Lou Villalba</cp:lastModifiedBy>
  <cp:revision>2</cp:revision>
  <dcterms:created xsi:type="dcterms:W3CDTF">2026-08-13T04:44:00Z</dcterms:created>
  <dcterms:modified xsi:type="dcterms:W3CDTF">2026-08-13T04:44:00Z</dcterms:modified>
</cp:coreProperties>
</file>